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0E436B">
      <w:pPr>
        <w:jc w:val="center"/>
        <w:rPr>
          <w:b/>
          <w:caps/>
        </w:rPr>
      </w:pPr>
      <w:r>
        <w:rPr>
          <w:b/>
          <w:caps/>
        </w:rPr>
        <w:t>Uchwała Nr XLII/303/2021</w:t>
      </w:r>
      <w:r>
        <w:rPr>
          <w:b/>
          <w:caps/>
        </w:rPr>
        <w:br/>
        <w:t>Rady Gminy Radziejowice</w:t>
      </w:r>
    </w:p>
    <w:p w:rsidR="00A77B3E" w:rsidRDefault="000E436B">
      <w:pPr>
        <w:spacing w:before="280" w:after="280"/>
        <w:jc w:val="center"/>
        <w:rPr>
          <w:b/>
          <w:caps/>
        </w:rPr>
      </w:pPr>
      <w:r>
        <w:t>z dnia 18 października 2021 r.</w:t>
      </w:r>
    </w:p>
    <w:p w:rsidR="00A77B3E" w:rsidRDefault="000E436B">
      <w:pPr>
        <w:keepNext/>
        <w:spacing w:after="480"/>
        <w:jc w:val="center"/>
      </w:pPr>
      <w:r>
        <w:rPr>
          <w:b/>
        </w:rPr>
        <w:t>w sprawie miejscowego planu zagospodarowania przestrzennego</w:t>
      </w:r>
      <w:r>
        <w:rPr>
          <w:b/>
        </w:rPr>
        <w:br/>
        <w:t>obejmującego fragment miejscowości Benenard</w:t>
      </w:r>
    </w:p>
    <w:p w:rsidR="00A77B3E" w:rsidRDefault="000E436B">
      <w:pPr>
        <w:keepLines/>
        <w:spacing w:before="120" w:after="120"/>
        <w:ind w:firstLine="227"/>
      </w:pPr>
      <w:r>
        <w:t>Na podstawie art. 18 ust. 2 pkt 5 ustawy z dnia 8 marca 1990 r. o </w:t>
      </w:r>
      <w:r>
        <w:t>samorządzie gminnym (t.j. Dz.U. z 2021 r.  poz. 1372, poz.1834) oraz art. 15 ust. 1 i 2, art. 20 ust. 1, art. 29 ust. 1 ustawy z dnia 27 marca 2003 r. o planowaniu i zagospodarowaniu przestrzennym (t.j. Dz.U. z 2021 r. poz. 741, zm. Dz.U. z 2021 r. poz. 78</w:t>
      </w:r>
      <w:r>
        <w:t>4, poz. 922), w związku z Uchwałą Nr XVII/124/2019 Rady Gminy Radziejowice z dnia 14 października 2019 r. w sprawie przystąpienia do sporządzenia miejscowego planu zagospodarowania przestrzennego Gminy Radziejowice obejmującego fragment miejscowości Benena</w:t>
      </w:r>
      <w:r>
        <w:t>rd, zmienioną Uchwałą Nr XXI/153/2020 Rady Gminy Radziejowice z dnia 27 stycznia 2020 r., Rada Gminy Radziejowice, stwierdzając, że ustalenia projektu planu nie naruszają ustaleń Studium uwarunkowań i kierunków zagospodarowania przestrzennego gminy Radziej</w:t>
      </w:r>
      <w:r>
        <w:t>owice, uchwala co następuje:</w:t>
      </w:r>
    </w:p>
    <w:p w:rsidR="00A77B3E" w:rsidRDefault="000E436B">
      <w:pPr>
        <w:keepNext/>
        <w:keepLines/>
        <w:jc w:val="center"/>
        <w:rPr>
          <w:u w:color="000000"/>
        </w:rPr>
      </w:pPr>
      <w:r>
        <w:rPr>
          <w:b/>
        </w:rPr>
        <w:t>Rozdział 1</w:t>
      </w:r>
      <w:r>
        <w:br/>
      </w:r>
      <w:r>
        <w:rPr>
          <w:b/>
        </w:rPr>
        <w:t>Przepisy ogólne</w:t>
      </w:r>
    </w:p>
    <w:p w:rsidR="00A77B3E" w:rsidRDefault="000E436B">
      <w:pPr>
        <w:keepLines/>
        <w:spacing w:before="120" w:after="120"/>
        <w:ind w:firstLine="340"/>
        <w:rPr>
          <w:u w:color="000000"/>
        </w:rPr>
      </w:pPr>
      <w:r>
        <w:rPr>
          <w:b/>
        </w:rPr>
        <w:t>§ 1. </w:t>
      </w:r>
      <w:r>
        <w:rPr>
          <w:u w:color="000000"/>
        </w:rPr>
        <w:t>Uchwala się miejscowy plan zagospodarowania przestrzennego gminy Radziejowice obejmujący fragment miejscowości Benenard, zwany dalej planem.</w:t>
      </w:r>
    </w:p>
    <w:p w:rsidR="00A77B3E" w:rsidRDefault="000E436B">
      <w:pPr>
        <w:keepLines/>
        <w:spacing w:before="120" w:after="120"/>
        <w:ind w:firstLine="340"/>
        <w:rPr>
          <w:u w:color="000000"/>
        </w:rPr>
      </w:pPr>
      <w:r>
        <w:rPr>
          <w:b/>
        </w:rPr>
        <w:t>§ 2. </w:t>
      </w:r>
      <w:r>
        <w:rPr>
          <w:u w:color="000000"/>
        </w:rPr>
        <w:t>Granice obszaru planu określone zostały na rysunk</w:t>
      </w:r>
      <w:r>
        <w:rPr>
          <w:u w:color="000000"/>
        </w:rPr>
        <w:t>u planu, stanowiącym załącznik nr 1 do niniejszej uchwały.</w:t>
      </w:r>
    </w:p>
    <w:p w:rsidR="00A77B3E" w:rsidRDefault="000E436B">
      <w:pPr>
        <w:keepLines/>
        <w:spacing w:before="120" w:after="120"/>
        <w:ind w:firstLine="340"/>
        <w:rPr>
          <w:u w:color="000000"/>
        </w:rPr>
      </w:pPr>
      <w:r>
        <w:rPr>
          <w:b/>
        </w:rPr>
        <w:t>§ 3. </w:t>
      </w:r>
      <w:r>
        <w:rPr>
          <w:u w:color="000000"/>
        </w:rPr>
        <w:t>Załącznikami do niniejszej uchwały są:</w:t>
      </w:r>
    </w:p>
    <w:p w:rsidR="00A77B3E" w:rsidRDefault="000E436B">
      <w:pPr>
        <w:spacing w:before="120" w:after="120"/>
        <w:ind w:left="340" w:hanging="227"/>
        <w:rPr>
          <w:u w:color="000000"/>
        </w:rPr>
      </w:pPr>
      <w:r>
        <w:t>1) </w:t>
      </w:r>
      <w:r>
        <w:rPr>
          <w:u w:color="000000"/>
        </w:rPr>
        <w:t>rysunek planu w skali 1:1000, stanowiący załącznik nr 1;</w:t>
      </w:r>
    </w:p>
    <w:p w:rsidR="00A77B3E" w:rsidRDefault="000E436B">
      <w:pPr>
        <w:spacing w:before="120" w:after="120"/>
        <w:ind w:left="340" w:hanging="227"/>
        <w:rPr>
          <w:u w:color="000000"/>
        </w:rPr>
      </w:pPr>
      <w:r>
        <w:t>2) </w:t>
      </w:r>
      <w:r>
        <w:rPr>
          <w:u w:color="000000"/>
        </w:rPr>
        <w:t>rozstrzygnięcie o sposobie rozpatrzenia uwag do projektu planu, złożonych w czasie wyłożen</w:t>
      </w:r>
      <w:r>
        <w:rPr>
          <w:u w:color="000000"/>
        </w:rPr>
        <w:t>ia do publicznego wglądu, stanowiące załącznik nr 2;</w:t>
      </w:r>
    </w:p>
    <w:p w:rsidR="00A77B3E" w:rsidRDefault="000E436B">
      <w:pPr>
        <w:spacing w:before="120" w:after="120"/>
        <w:ind w:left="340" w:hanging="227"/>
        <w:rPr>
          <w:u w:color="000000"/>
        </w:rPr>
      </w:pPr>
      <w:r>
        <w:t>3) </w:t>
      </w:r>
      <w:r>
        <w:rPr>
          <w:u w:color="000000"/>
        </w:rPr>
        <w:t>rozstrzygnięcie o sposobie realizacji i zasadach finansowania, zapisanych w planie inwestycji z zakresu infrastruktury technicznej, które należą do zadań własnych gminy, stanowiące załącznik nr 3;</w:t>
      </w:r>
    </w:p>
    <w:p w:rsidR="00A77B3E" w:rsidRDefault="000E436B">
      <w:pPr>
        <w:spacing w:before="120" w:after="120"/>
        <w:ind w:left="340" w:hanging="227"/>
        <w:rPr>
          <w:u w:color="000000"/>
        </w:rPr>
      </w:pPr>
      <w:r>
        <w:t>4) </w:t>
      </w:r>
      <w:r>
        <w:rPr>
          <w:u w:color="000000"/>
        </w:rPr>
        <w:t>dane przestrzenne dla planu, stanowiące załącznik nr 4.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u w:color="000000"/>
        </w:rPr>
        <w:t xml:space="preserve">Na rysunku planu następujące oznaczenia są oznaczeniami obowiązującymi: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granica obszaru objętego planem;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linie rozgraniczające tereny o różnym przeznaczeniu lub różnych zasadach </w:t>
      </w:r>
      <w:r>
        <w:rPr>
          <w:color w:val="000000"/>
          <w:u w:color="000000"/>
        </w:rPr>
        <w:t>zagospodarowania;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cyfrowo- literowe symbole dotyczące przeznaczenia terenów;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nieprzekraczalne linie zabudowy;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zwymiarowanie podane w metrach.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Pozostałe oznaczenia, nie wymienione w ust.1, mają charakter informacyjny.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Ilekroć w planie je</w:t>
      </w:r>
      <w:r>
        <w:rPr>
          <w:color w:val="000000"/>
          <w:u w:color="000000"/>
        </w:rPr>
        <w:t xml:space="preserve">st mowa o: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obszarze planu – </w:t>
      </w:r>
      <w:r>
        <w:rPr>
          <w:color w:val="000000"/>
          <w:u w:color="000000"/>
        </w:rPr>
        <w:t xml:space="preserve">należy przez to rozumieć nieruchomości objęte niniejszym planem;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terenie – </w:t>
      </w:r>
      <w:r>
        <w:rPr>
          <w:color w:val="000000"/>
          <w:u w:color="000000"/>
        </w:rPr>
        <w:t xml:space="preserve">należy przez to rozumieć fragment obszaru planu wydzielony liniami rozgraniczającymi, dla którego określone jest przeznaczenie, warunki i zasady </w:t>
      </w:r>
      <w:r>
        <w:rPr>
          <w:color w:val="000000"/>
          <w:u w:color="000000"/>
        </w:rPr>
        <w:t xml:space="preserve">zagospodarowania i który oznaczony jest numerem i symbolem literowym przeznaczenia;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linii rozgraniczającej – </w:t>
      </w:r>
      <w:r>
        <w:rPr>
          <w:color w:val="000000"/>
          <w:u w:color="000000"/>
        </w:rPr>
        <w:t>należy przez to rozumieć oznaczoną na rysunku planu pogrubioną linię ciągłą, rozgraniczającą tereny o </w:t>
      </w:r>
      <w:r>
        <w:rPr>
          <w:color w:val="000000"/>
          <w:u w:color="000000"/>
        </w:rPr>
        <w:t xml:space="preserve">różnym przeznaczeniu lub różnych zasadach zagospodarowania;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nieprzekraczalnej linii zabudowy – </w:t>
      </w:r>
      <w:r>
        <w:rPr>
          <w:color w:val="000000"/>
          <w:u w:color="000000"/>
        </w:rPr>
        <w:t>należy przez to rozumieć linię na rysunku planu, w której może być usytuowana ściana budynku, bez jej przekraczania w kierunku linii rozgraniczającej drogi l</w:t>
      </w:r>
      <w:r>
        <w:rPr>
          <w:color w:val="000000"/>
          <w:u w:color="000000"/>
        </w:rPr>
        <w:t xml:space="preserve">ub innych wskazanych rysunkiem planu elementów zagospodarowania terenu, zakaz ten nie dotyczy elementów </w:t>
      </w:r>
      <w:r>
        <w:rPr>
          <w:color w:val="000000"/>
          <w:u w:color="000000"/>
        </w:rPr>
        <w:lastRenderedPageBreak/>
        <w:t>architektonicznych takich jak: schody, balkon, wykusz, gzyms, okap dachu, zadaszenie wejścia, rynna, rura spustowa, podokienniki oraz innych detali wyst</w:t>
      </w:r>
      <w:r>
        <w:rPr>
          <w:color w:val="000000"/>
          <w:u w:color="000000"/>
        </w:rPr>
        <w:t xml:space="preserve">roju architektonicznego;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 xml:space="preserve">przeznaczeniu terenu – </w:t>
      </w:r>
      <w:r>
        <w:rPr>
          <w:color w:val="000000"/>
          <w:u w:color="000000"/>
        </w:rPr>
        <w:t>należy przez to rozumieć ustalony planem dla danego terenu rodzaj zabudowy (funkcji) i zespół działań możliwych do realizacji w danym terenie, który został opisany w tekście planu i oznaczony na rysunku p</w:t>
      </w:r>
      <w:r>
        <w:rPr>
          <w:color w:val="000000"/>
          <w:u w:color="000000"/>
        </w:rPr>
        <w:t xml:space="preserve">lanu symbolem literowym przeznaczenia; 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 xml:space="preserve">miejscach do parkowania – </w:t>
      </w:r>
      <w:r>
        <w:rPr>
          <w:color w:val="000000"/>
          <w:u w:color="000000"/>
        </w:rPr>
        <w:t xml:space="preserve">należy przez to rozumieć stanowiska postojowe zgodnie z przepisami odrębnymi;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 xml:space="preserve">dopuszczeniu – </w:t>
      </w:r>
      <w:r>
        <w:rPr>
          <w:color w:val="000000"/>
          <w:u w:color="000000"/>
        </w:rPr>
        <w:t>należy przez to rozumieć dopuszczoną możliwość realizacji obiektów budowlanych i form zag</w:t>
      </w:r>
      <w:r>
        <w:rPr>
          <w:color w:val="000000"/>
          <w:u w:color="000000"/>
        </w:rPr>
        <w:t>ospodarowania określonych w zasadach i warunkach zagospodarowania dla danego terenu, w tym będących poza zakresem przeznaczenia;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 xml:space="preserve">utrzymaniu – </w:t>
      </w:r>
      <w:r>
        <w:rPr>
          <w:color w:val="000000"/>
          <w:u w:color="000000"/>
        </w:rPr>
        <w:t>należy przez to rozumieć dopuszczalność wykonywania na istniejących obiektach budowlanych remontów, przebudowy,</w:t>
      </w:r>
      <w:r>
        <w:rPr>
          <w:color w:val="000000"/>
          <w:u w:color="000000"/>
        </w:rPr>
        <w:t xml:space="preserve"> rozbudowy, nadbudowy i odbudowy;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) </w:t>
      </w:r>
      <w:r>
        <w:rPr>
          <w:b/>
          <w:color w:val="000000"/>
          <w:u w:color="000000"/>
        </w:rPr>
        <w:t>usługach towarzyszących</w:t>
      </w:r>
      <w:r>
        <w:rPr>
          <w:color w:val="000000"/>
          <w:u w:color="000000"/>
        </w:rPr>
        <w:t xml:space="preserve"> – należy przez to rozumieć usługi związane z obsługą zabudowy mieszkaniowej jednorodzinnej, których celem jest z zaspokojenie podstawowych potrzeb ludności,  takie jak: usługi handlu </w:t>
      </w:r>
      <w:r>
        <w:rPr>
          <w:color w:val="000000"/>
          <w:u w:color="000000"/>
        </w:rPr>
        <w:t>detalicznego, krawieckie, fryzjerskie, kosmetyczne, biura projektowe, geodezyjne, rachunkowe, gabinety lekarskie, gabinety odnowy biologicznej, pracownie pracy twórczej, usługi napraw artykułów użytku osobistego i domowego oraz innych o zbliżonym charakter</w:t>
      </w:r>
      <w:r>
        <w:rPr>
          <w:color w:val="000000"/>
          <w:u w:color="000000"/>
        </w:rPr>
        <w:t>ze –zlokalizowane w bryle budynku mieszkalnego jednorodzinnego o powierzchni całkowitej wg przepisów odrębnych z zakresu prawa budowlanego.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Pojęcia i określenia użyte w planie, a nie zdefiniowane w niniejszym paragrafie, należy rozumieć zgodnie z ogólni</w:t>
      </w:r>
      <w:r>
        <w:rPr>
          <w:color w:val="000000"/>
          <w:u w:color="000000"/>
        </w:rPr>
        <w:t>e obowiązującymi przepisami prawa, według stanu na dzień uchwalenia niniejszego planu.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W niniejszym planie ustala się tereny o przeznaczeniu: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teren zabudowy mieszkaniowej jednorodzinnej </w:t>
      </w:r>
      <w:r>
        <w:rPr>
          <w:color w:val="000000"/>
          <w:u w:color="000000"/>
        </w:rPr>
        <w:t>oznaczony symbolem literowym</w:t>
      </w:r>
      <w:r>
        <w:rPr>
          <w:b/>
          <w:color w:val="000000"/>
          <w:u w:color="000000"/>
        </w:rPr>
        <w:t xml:space="preserve"> MN </w:t>
      </w:r>
      <w:r>
        <w:rPr>
          <w:color w:val="000000"/>
          <w:u w:color="000000"/>
        </w:rPr>
        <w:t>– to teren, na którym ustala s</w:t>
      </w:r>
      <w:r>
        <w:rPr>
          <w:color w:val="000000"/>
          <w:u w:color="000000"/>
        </w:rPr>
        <w:t>ię utrzymanie istniejących oraz budowę nowych budynków mieszkalnych z niezbędnymi do jego funkcjonowania pomieszczeniami i budynkami technicznymi, gospodarczymi, garażami, a także dojściami, dojazdami, infrastrukturą techniczną i zielenią;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teren zabudow</w:t>
      </w:r>
      <w:r>
        <w:rPr>
          <w:b/>
          <w:color w:val="000000"/>
          <w:u w:color="000000"/>
        </w:rPr>
        <w:t xml:space="preserve">y mieszkaniowej jednorodzinnej z usługami </w:t>
      </w:r>
      <w:r>
        <w:rPr>
          <w:color w:val="000000"/>
          <w:u w:color="000000"/>
        </w:rPr>
        <w:t xml:space="preserve">oznaczony symbolem literowym </w:t>
      </w:r>
      <w:r>
        <w:rPr>
          <w:b/>
          <w:color w:val="000000"/>
          <w:u w:color="000000"/>
        </w:rPr>
        <w:t>MNu</w:t>
      </w:r>
      <w:r>
        <w:rPr>
          <w:color w:val="000000"/>
          <w:u w:color="000000"/>
        </w:rPr>
        <w:t>– to teren, na którym ustala się utrzymanie istniejących oraz budowę nowych budynków mieszkalnych i usługowych z niezbędnymi do ich funkcjonowania pomieszczeniami i budynkami technic</w:t>
      </w:r>
      <w:r>
        <w:rPr>
          <w:color w:val="000000"/>
          <w:u w:color="000000"/>
        </w:rPr>
        <w:t>znymi, gospodarczymi, garażami, a także dojściami, dojazdami, infrastrukturą techniczną i zielenią, przy czym zabudowa usługowa może być realizowana z zakresu: turystyki, sportu, rekreacji, hotelarstwa, gastronomii, administracji, działalności konferencyjn</w:t>
      </w:r>
      <w:r>
        <w:rPr>
          <w:color w:val="000000"/>
          <w:u w:color="000000"/>
        </w:rPr>
        <w:t>o-szkoleniowej oraz usług nieuciążliwych rozumianych jako działalność służącą zaspokajaniu potrzeb ludności, niezwiązaną z wytwarzaniem dóbr materialnych metodami przemysłowymi, przy czym działalność ta nie może powodować przekroczenia dopuszczalnych stand</w:t>
      </w:r>
      <w:r>
        <w:rPr>
          <w:color w:val="000000"/>
          <w:u w:color="000000"/>
        </w:rPr>
        <w:t>ardów jakości środowiska poza działkę budowlaną, na której jest prowadzona, i jako funkcja współistniejąca z istniejącą na działce zabudową mieszkaniową jednorodzinną;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teren lasu </w:t>
      </w:r>
      <w:r>
        <w:rPr>
          <w:color w:val="000000"/>
          <w:u w:color="000000"/>
        </w:rPr>
        <w:t xml:space="preserve">oznaczony symbolem literowym </w:t>
      </w:r>
      <w:r>
        <w:rPr>
          <w:b/>
          <w:color w:val="000000"/>
          <w:u w:color="000000"/>
        </w:rPr>
        <w:t>Ls</w:t>
      </w:r>
      <w:r>
        <w:rPr>
          <w:color w:val="000000"/>
          <w:u w:color="000000"/>
        </w:rPr>
        <w:t>– to teren, na którym realizowane są działa</w:t>
      </w:r>
      <w:r>
        <w:rPr>
          <w:color w:val="000000"/>
          <w:u w:color="000000"/>
        </w:rPr>
        <w:t>nia ograniczone do zachowania istniejących kompleksów leśnych, z uwzględnieniem ustaleń planu urządzenia lasu;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teren rowu melioracyjnego </w:t>
      </w:r>
      <w:r>
        <w:rPr>
          <w:color w:val="000000"/>
          <w:u w:color="000000"/>
        </w:rPr>
        <w:t xml:space="preserve">oznaczony symbolem literowym </w:t>
      </w:r>
      <w:r>
        <w:rPr>
          <w:b/>
          <w:color w:val="000000"/>
          <w:u w:color="000000"/>
        </w:rPr>
        <w:t>Wr</w:t>
      </w:r>
      <w:r>
        <w:rPr>
          <w:color w:val="000000"/>
          <w:u w:color="000000"/>
        </w:rPr>
        <w:t>– to teren, na którym realizowane są działania ograniczone do utrzymania wszystkich i</w:t>
      </w:r>
      <w:r>
        <w:rPr>
          <w:color w:val="000000"/>
          <w:u w:color="000000"/>
        </w:rPr>
        <w:t>stniejących urządzeń melioracji wodnych z możliwością ich przebudowy i modernizacji na warunkach ustalonych przez zarządcę tych urządzeń;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 xml:space="preserve">teren drogi publicznej– kategorii gminnej, klasy dojazdowej </w:t>
      </w:r>
      <w:r>
        <w:rPr>
          <w:color w:val="000000"/>
          <w:u w:color="000000"/>
        </w:rPr>
        <w:t>oznaczony symbolem literowym</w:t>
      </w:r>
      <w:r>
        <w:rPr>
          <w:b/>
          <w:color w:val="000000"/>
          <w:u w:color="000000"/>
        </w:rPr>
        <w:t xml:space="preserve"> KDD</w:t>
      </w:r>
      <w:r>
        <w:rPr>
          <w:color w:val="000000"/>
          <w:u w:color="000000"/>
        </w:rPr>
        <w:t>– to teren, na którym r</w:t>
      </w:r>
      <w:r>
        <w:rPr>
          <w:color w:val="000000"/>
          <w:u w:color="000000"/>
        </w:rPr>
        <w:t>ealizowane są działania ograniczone do utrzymania istniejących oraz budowy dróg publicznych klasy dojazdowej oraz możliwość realizacji sieci i urządzeń infrastruktury technicznej;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 xml:space="preserve">teren drogi wewnętrznej </w:t>
      </w:r>
      <w:r>
        <w:rPr>
          <w:color w:val="000000"/>
          <w:u w:color="000000"/>
        </w:rPr>
        <w:t>oznaczony symbolem</w:t>
      </w:r>
      <w:r>
        <w:rPr>
          <w:b/>
          <w:color w:val="000000"/>
          <w:u w:color="000000"/>
        </w:rPr>
        <w:t xml:space="preserve"> KDW</w:t>
      </w:r>
      <w:r>
        <w:rPr>
          <w:color w:val="000000"/>
          <w:u w:color="000000"/>
        </w:rPr>
        <w:t>– to teren, na którym reali</w:t>
      </w:r>
      <w:r>
        <w:rPr>
          <w:color w:val="000000"/>
          <w:u w:color="000000"/>
        </w:rPr>
        <w:t>zowane są działania ograniczone do utrzymania istniejących oraz budowy dróg wewnętrznych oraz możliwość realizacji sieci i urządzeń infrastruktury technicznej.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W planie ze względu na uwarunkowania nie określa się: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zasad ochrony dziedzictwa kulturow</w:t>
      </w:r>
      <w:r>
        <w:rPr>
          <w:color w:val="000000"/>
          <w:u w:color="000000"/>
        </w:rPr>
        <w:t>ego i zabytków, w tym krajobrazów kulturowych, oraz dóbr kultury współczesnej;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granic i sposobów zagospodarowania terenów górniczych, a także obszarów szczególnego zagrożenia powodzią, obszarów osuwania się mas ziemnych, krajobrazów priorytetowych okreś</w:t>
      </w:r>
      <w:r>
        <w:rPr>
          <w:color w:val="000000"/>
          <w:u w:color="000000"/>
        </w:rPr>
        <w:t>lonych w audycie krajobrazowym (obecnie brak audytu krajobrazowego dla województwa mazowieckiego) oraz w planie zagospodarowania przestrzennego województwa mazowieckiego;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szczególnych warunków zagospodarowania terenów oraz ograniczeń w ich użytkowaniu, </w:t>
      </w:r>
      <w:r>
        <w:rPr>
          <w:color w:val="000000"/>
          <w:u w:color="000000"/>
        </w:rPr>
        <w:t>w tym zakazu zabudowy;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wymagań wynikających z potrzeb kształtowania przestrzeni publicznych – w obszarze nie występują tereny, które spełniałyby rolę obszarów przestrzeni publicznych w rozumieniu ustawy o planowaniu i zagospodarowaniu przestrzennym.</w:t>
      </w:r>
    </w:p>
    <w:p w:rsidR="00A77B3E" w:rsidRDefault="000E436B">
      <w:pPr>
        <w:keepNext/>
        <w:jc w:val="center"/>
        <w:rPr>
          <w:color w:val="000000"/>
          <w:u w:color="000000"/>
        </w:rPr>
      </w:pPr>
      <w:r>
        <w:rPr>
          <w:b/>
        </w:rPr>
        <w:t>Roz</w:t>
      </w:r>
      <w:r>
        <w:rPr>
          <w:b/>
        </w:rPr>
        <w:t>dział 2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ogólne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b/>
          <w:color w:val="000000"/>
          <w:u w:color="000000"/>
        </w:rPr>
        <w:t xml:space="preserve">Zasady ochrony i kształtowania ładu przestrzennego oraz kształtowania krajobrazu: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zakresie zasad kształtowania zabudowy ustala się: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sytuowanie budynków względem dróg publicznych według nieprzekraczalnych linii </w:t>
      </w:r>
      <w:r>
        <w:rPr>
          <w:color w:val="000000"/>
          <w:u w:color="000000"/>
        </w:rPr>
        <w:t>zabudowy zgodnie z rysunkiem planu;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zachowanie jednorodnej formy zabudowy, w tym materiałów wykończeniowych i kolorystki na całej działce budowlanej,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kolorystykę elewacji w kolorach pastelowych, harmonizujących z otoczeniem,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 xml:space="preserve">kolorystykę dachów </w:t>
      </w:r>
      <w:r>
        <w:rPr>
          <w:color w:val="000000"/>
          <w:u w:color="000000"/>
        </w:rPr>
        <w:t>budynków w odcieniach brązu, czerwieni, grafitu;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realizacja obiektów budowlanych w stosunku do sieci i urządzeń infrastruktury technicznej wymaga zachowania odległości, warunków bezpieczeństwa i prawidłowej eksploatacji sieci i urządzeń, ustalonych prze</w:t>
      </w:r>
      <w:r>
        <w:rPr>
          <w:color w:val="000000"/>
          <w:u w:color="000000"/>
        </w:rPr>
        <w:t>pisami odrębnymi.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b/>
          <w:color w:val="000000"/>
          <w:u w:color="000000"/>
        </w:rPr>
        <w:t xml:space="preserve">Zasady ochrony środowiska, przyrody i krajobrazu: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fragment obszaru objętego planem położony  jest w Bolimowsko-Radziejowickim z doliną środkowej Rawki Obszarze Chronionego Krajobrazu – wszelkie działania inwestycyjne i sposób zag</w:t>
      </w:r>
      <w:r>
        <w:rPr>
          <w:color w:val="000000"/>
          <w:u w:color="000000"/>
        </w:rPr>
        <w:t>ospodarowania w obszarze regulują przepisy odrębne;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zakresie ochrony powietrza wprowadza się nakaz stosowania do celów grzewczych źródeł ciepła spełniających wymagania standardów emisyjnych;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w zakresie ochrony akustycznej – wyodrębnione niniejszym </w:t>
      </w:r>
      <w:r>
        <w:rPr>
          <w:color w:val="000000"/>
          <w:u w:color="000000"/>
        </w:rPr>
        <w:t>planem tereny oznaczone symbolem literowym przeznaczenia: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„MN” wskazuje się do rodzajów terenów o dopuszczalnych poziomach hałasu w środowisku, o których mowa w przepisach odrębnych – jako „tereny zabudowy mieszkaniowej jednorodzinnej”,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„MNu” wskazuj</w:t>
      </w:r>
      <w:r>
        <w:rPr>
          <w:color w:val="000000"/>
          <w:u w:color="000000"/>
        </w:rPr>
        <w:t>e się do rodzajów terenów o dopuszczalnych poziomach hałasu w środowisku, o których mowa w przepisach odrębnych – jako „tereny mieszkaniowo-usługowe”;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ustala się zakaz realizacji przedsięwzięć mogących znacząco oddziaływać na środowisko za wyjątkiem inf</w:t>
      </w:r>
      <w:r>
        <w:rPr>
          <w:color w:val="000000"/>
          <w:u w:color="000000"/>
        </w:rPr>
        <w:t>rastruktury technicznej oraz inwestycji z zakresu łączności publicznej (telekomunikacji);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zagospodarowanie terenu objętego granicą planu wymaga zapewnienia warunków ochrony przeciwpożarowej, takich jak: hydranty i drogi pożarowe zgodnie z wymogami przep</w:t>
      </w:r>
      <w:r>
        <w:rPr>
          <w:color w:val="000000"/>
          <w:u w:color="000000"/>
        </w:rPr>
        <w:t>isów odrębnych;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zakaz lokalizacji usług związanych z: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odzyskiem, przetwarzaniem, magazynowaniem, kompostowaniem, unieszkodliwianiem lub utylizacją odpadów nie pochodzących z własnej działalności,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zbieraniem i przeładunkiem odpadów, złomu i makulat</w:t>
      </w:r>
      <w:r>
        <w:rPr>
          <w:color w:val="000000"/>
          <w:u w:color="000000"/>
        </w:rPr>
        <w:t>ury;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na części obszaru objętego planem, wskazanej w ustaleniach o charakterze informacyjnym na rysunku planu jako orientacyjna granica obszaru zmeliorowanego, występują  urządzenia  melioracji  wodnych – rurociągi drenarskie –w zagospodarowaniu  tej  cz</w:t>
      </w:r>
      <w:r>
        <w:rPr>
          <w:color w:val="000000"/>
          <w:u w:color="000000"/>
        </w:rPr>
        <w:t>ęści  obszaru  planu  obowiązują  ograniczenia  i zasady zagospodarowania wynikające przepisów odrębnych.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b/>
          <w:color w:val="000000"/>
          <w:u w:color="000000"/>
        </w:rPr>
        <w:t xml:space="preserve">Szczegółowe zasady i warunki scalania i podziału nieruchomości: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 xml:space="preserve">nie wyznacza się granic obszarów wymagających obowiązkowego przeprowadzenia </w:t>
      </w:r>
      <w:r>
        <w:rPr>
          <w:color w:val="000000"/>
          <w:u w:color="000000"/>
        </w:rPr>
        <w:t>procedury scalenia i podziału nieruchomości;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możliwość przeprowadzenia scalenia i podziału nieruchomości przy spełnieniu warunków: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minimalna powierzchnia działki – jak   dla   nowo wydzielanych  działek  budowlanych,  określona w ustalenia</w:t>
      </w:r>
      <w:r>
        <w:rPr>
          <w:color w:val="000000"/>
          <w:u w:color="000000"/>
        </w:rPr>
        <w:t>ch szczegółowych dla terenów,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minimalna szerokość frontu działek – 24,0 m,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kąt położenia granic działek w stosunku do pasa drogowego 90</w:t>
      </w:r>
      <w:r>
        <w:rPr>
          <w:color w:val="000000"/>
          <w:u w:color="000000"/>
          <w:vertAlign w:val="superscript"/>
        </w:rPr>
        <w:t>0</w:t>
      </w:r>
      <w:r>
        <w:rPr>
          <w:color w:val="000000"/>
          <w:u w:color="000000"/>
        </w:rPr>
        <w:t>, z tolerancją do 15%;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ustalenia pkt 2 nie dotyczą podziałów dokonywanych w celu poszerzenia istniejących dróg,</w:t>
      </w:r>
      <w:r>
        <w:rPr>
          <w:color w:val="000000"/>
          <w:u w:color="000000"/>
        </w:rPr>
        <w:t xml:space="preserve"> wydzielenia działek pod nowe drogi, powiększenia działek sąsiednich oraz sytuowania urządzeń infrastruktury technicznej.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b/>
          <w:color w:val="000000"/>
          <w:u w:color="000000"/>
        </w:rPr>
        <w:t xml:space="preserve">Zasady modernizacji, rozbudowy i budowy systemów komunikacji: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dostępność komunikacyjną do terenów poprzez: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drogę publiczną klasy dojazdowej oznaczoną na rysunku planu symbolem 10 KDD – ulicę Bednarską, która stanowi fragment drogi posiadającej dalszy swój bieg poza granicą niniejszego planu,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drogi wewnętrzne – oznaczone na rysunku planu symbolami 11 KDW, 12 </w:t>
      </w:r>
      <w:r>
        <w:rPr>
          <w:color w:val="000000"/>
          <w:u w:color="000000"/>
        </w:rPr>
        <w:t>KDW, 13 KDW,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dojścia, dojazdy, drogi wewnętrzne, nie wydzielone na rysunku planu;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powiązanie układu komunikacyjnego na obszarze planu z układem zewnętrznym ustala się poprzez drogę publiczną klasy dojazdowej oznaczoną na rysunku planu symbolem 10 KDD</w:t>
      </w:r>
      <w:r>
        <w:rPr>
          <w:color w:val="000000"/>
          <w:u w:color="000000"/>
        </w:rPr>
        <w:t>, która posiada dalszy bieg na terenie gminy Radziejowice i gminy Wiskitki i powiązana jest z gminnym układem komunikacyjnym;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obowiązek zapewnienia miejsc do parkowania dla samochodów w ilości: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przypadku realizacji budynku mieszkalnego –</w:t>
      </w:r>
      <w:r>
        <w:rPr>
          <w:color w:val="000000"/>
          <w:u w:color="000000"/>
        </w:rPr>
        <w:t xml:space="preserve"> minimum 1 stanowisko postojowe na 1 mieszkanie,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przypadku realizacji obiektu gastronomicznego – minimum 1 stanowisko postojowe na każde 4 miejsca konsumpcyjne,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w przypadku realizacji obiektu hotelowego – minimum 1 stanowisko postojowe na 4 miejsca</w:t>
      </w:r>
      <w:r>
        <w:rPr>
          <w:color w:val="000000"/>
          <w:u w:color="000000"/>
        </w:rPr>
        <w:t xml:space="preserve"> noclegowe,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w przypadku realizacji pozostałych obiektów usługowych – minimum 1 stanowisko postojowe na każde rozpoczęte 50 m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powierzchni użytkowej;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na parkingach liczących więcej niż 5 miejsc przeznaczonych na postój pojazdów, minimum 4 % ogólnej </w:t>
      </w:r>
      <w:r>
        <w:rPr>
          <w:color w:val="000000"/>
          <w:u w:color="000000"/>
        </w:rPr>
        <w:t>liczby miejsc, lecz nie mniej niż 1 miejsce postojowe, należy przeznaczyć na parkowanie pojazdów zaopatrzonych w kartę parkingową, o której mowa w przepisach o ruchu drogowym;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potrzeby w zakresie miejsc do parkowania powinny być zapewnione w obrębie dzi</w:t>
      </w:r>
      <w:r>
        <w:rPr>
          <w:color w:val="000000"/>
          <w:u w:color="000000"/>
        </w:rPr>
        <w:t>ałki budowlanej, w tym w garażach.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b/>
          <w:color w:val="000000"/>
          <w:u w:color="000000"/>
        </w:rPr>
        <w:t xml:space="preserve">Zasady modernizacji, rozbudowy i budowy systemów infrastruktury technicznej: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wyposażenie terenów w sieci i urządzenia infrastruktury technicznej, a także przebudowę i rozbudowę istniejących sieci zgod</w:t>
      </w:r>
      <w:r>
        <w:rPr>
          <w:color w:val="000000"/>
          <w:u w:color="000000"/>
        </w:rPr>
        <w:t>nie z przepisami odrębnymi;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warunki obsługi terenu w zakresie infrastruktury technicznej: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zaopatrzenie w wodę – w oparciu o gminną sieć wodociągową lub ujęć indywidualnych z zachowaniem przepisów odrębnych,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odprowadzenie wód opadowych i</w:t>
      </w:r>
      <w:r>
        <w:rPr>
          <w:color w:val="000000"/>
          <w:u w:color="000000"/>
        </w:rPr>
        <w:t> roztopowych – do sieci kanalizacji deszczowej, do ziemi lub wód powierzchniowych, zgodnie z przepisami odrębnymi, z zakazem zmiany kierunku i natężenia odpływu powodujących zalewanie terenów sąsiednich,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dopuszcza się stosowanie urządzeń umożliwiających</w:t>
      </w:r>
      <w:r>
        <w:rPr>
          <w:color w:val="000000"/>
          <w:u w:color="000000"/>
        </w:rPr>
        <w:t xml:space="preserve"> wykorzystanie wód na miejscu oraz stosowanie rozwiązań umożliwiających retencjonowanie nadmiaru wód przed ich odprowadzeniem do sieci kanalizacji deszczowej lub do ziemi,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d) </w:t>
      </w:r>
      <w:r>
        <w:rPr>
          <w:color w:val="000000"/>
          <w:u w:color="000000"/>
        </w:rPr>
        <w:t>wody opadowe i roztopowe wymagające oczyszczenia powinny być podczyszczone w urzą</w:t>
      </w:r>
      <w:r>
        <w:rPr>
          <w:color w:val="000000"/>
          <w:u w:color="000000"/>
        </w:rPr>
        <w:t>dzeniach podczyszczających zlokalizowanych w granicach działki budowlanej do parametrów umożliwiających ich odprowadzenie do sieci kanalizacji deszczowej lub zbiornika retencyjnego zlokalizowanego na terenie działki budowlanej zgodnie z przepisami odrębnym</w:t>
      </w:r>
      <w:r>
        <w:rPr>
          <w:color w:val="000000"/>
          <w:u w:color="000000"/>
        </w:rPr>
        <w:t>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odprowadzanie ścieków bytowych do sieci kanalizacji sanitarnej, a w przypadku braku tej sieci do zbiorników bezodpływowych lub przydomowych oczyszczalni ścieków zgodnie z przepisami odrębnymi,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usuwanie odpadów, zgodnie z przepisami odrębnymi,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z</w:t>
      </w:r>
      <w:r>
        <w:rPr>
          <w:color w:val="000000"/>
          <w:u w:color="000000"/>
        </w:rPr>
        <w:t>aopatrzenie w energię cieplną – z indywidualnych źródeł ciepła, docelowo w oparciu o nieszkodliwe, ekologiczne czynniki grzewcze, takie jak gaz ziemny, olej opałowy, energia słoneczna, energia elektryczna, odnawialne źródła energii,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zaopatrzenie w gaz w</w:t>
      </w:r>
      <w:r>
        <w:rPr>
          <w:color w:val="000000"/>
          <w:u w:color="000000"/>
        </w:rPr>
        <w:t> oparciu o projektowaną sieć gazu ziemnego,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zaopatrzenie w energię elektryczną z wykorzystaniem sieci elektroenergetycznej niskiego i średniego napięcia,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obsługę w zakresie telekomunikacji w oparciu o sieć telekomunikacyjną (łączność publiczną) istni</w:t>
      </w:r>
      <w:r>
        <w:rPr>
          <w:color w:val="000000"/>
          <w:u w:color="000000"/>
        </w:rPr>
        <w:t>ejącą i realizację inwestycji z zakresu łączności publicznej (infrastruktury telekomunikacyjnej) zgodnie z przepisami odrębnymi.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b/>
          <w:color w:val="000000"/>
          <w:u w:color="000000"/>
        </w:rPr>
        <w:t xml:space="preserve">Sposoby i terminy tymczasowego zagospodarowania, urządzania i użytkowania terenów: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dopuszcza się jako tymczasowe </w:t>
      </w:r>
      <w:r>
        <w:rPr>
          <w:color w:val="000000"/>
          <w:u w:color="000000"/>
        </w:rPr>
        <w:t>zagospodarowanie i użytkowanie terenów, utrzymanie istniejącego stanu użytkowania, do czasu zagospodarowania terenów zgodnie z przeznaczeniem;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nie określa się terminu, do którego istniejące urządzanie i użytkowanie terenów może być wykonywane.</w:t>
      </w:r>
    </w:p>
    <w:p w:rsidR="00A77B3E" w:rsidRDefault="000E436B">
      <w:pPr>
        <w:keepNext/>
        <w:jc w:val="center"/>
        <w:rPr>
          <w:color w:val="000000"/>
          <w:u w:color="000000"/>
        </w:rPr>
      </w:pPr>
      <w:r>
        <w:rPr>
          <w:b/>
        </w:rPr>
        <w:t xml:space="preserve">Rozdział </w:t>
      </w:r>
      <w:r>
        <w:rPr>
          <w:b/>
        </w:rPr>
        <w:t>3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Przeznaczenie terenu, parametry i wskaźniki kształtowania zabudowy oraz zagospodarowania terenu – ustalenia szczegółowe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rPr>
          <w:color w:val="000000"/>
          <w:u w:color="000000"/>
        </w:rPr>
        <w:t xml:space="preserve">Dla terenów oznaczonych na rysunku planu </w:t>
      </w:r>
      <w:r>
        <w:rPr>
          <w:b/>
          <w:color w:val="000000"/>
          <w:u w:color="000000"/>
        </w:rPr>
        <w:t xml:space="preserve">symbolami: 1 MN, 2 MN, 3 MN, 4 MN </w:t>
      </w:r>
      <w:r>
        <w:rPr>
          <w:color w:val="000000"/>
          <w:u w:color="000000"/>
        </w:rPr>
        <w:t xml:space="preserve">ustala się: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zabudowy</w:t>
      </w:r>
      <w:r>
        <w:rPr>
          <w:color w:val="000000"/>
          <w:u w:color="000000"/>
        </w:rPr>
        <w:t xml:space="preserve"> mieszkaniowej jednorodzinnej;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się remonty i przebudowę istniejących obiektów,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rozbudowę i nadbudowę istniejących obiektów zgodnie z parametrami określonymi dla terenu,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dopuszcza się mo</w:t>
      </w:r>
      <w:r>
        <w:rPr>
          <w:color w:val="000000"/>
          <w:u w:color="000000"/>
        </w:rPr>
        <w:t>żliwość lokalizacji zabudowy rekreacji indywidualnej oraz usług towarzyszących zgodnie z definicją §5 ust.1 pkt 9,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maksymalna wysokość budynków mieszkalnych – 9,0 m,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maksymalna wysokość budynków gospodarczych i garażowych – 5,0 m,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dachy płaskie, j</w:t>
      </w:r>
      <w:r>
        <w:rPr>
          <w:color w:val="000000"/>
          <w:u w:color="000000"/>
        </w:rPr>
        <w:t>ednospadowe, dwu- lub wielospadowe o nachyleniu połaci dachowych od 20</w:t>
      </w:r>
      <w:r>
        <w:rPr>
          <w:color w:val="000000"/>
          <w:u w:color="000000"/>
          <w:vertAlign w:val="superscript"/>
        </w:rPr>
        <w:t xml:space="preserve">0 </w:t>
      </w:r>
      <w:r>
        <w:rPr>
          <w:color w:val="000000"/>
          <w:u w:color="000000"/>
        </w:rPr>
        <w:t>do 45</w:t>
      </w:r>
      <w:r>
        <w:rPr>
          <w:color w:val="000000"/>
          <w:u w:color="000000"/>
          <w:vertAlign w:val="superscript"/>
        </w:rPr>
        <w:t>0</w:t>
      </w:r>
      <w:r>
        <w:rPr>
          <w:color w:val="000000"/>
          <w:u w:color="000000"/>
        </w:rPr>
        <w:t xml:space="preserve">, 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minimalny wskaźnik powierzchni biologicznie czynnej – 65%,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maksymalny wskaźnik powierzchni zabudowy – 30%,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maksymalna intensywność zabudowy – 0,5,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minimalna intens</w:t>
      </w:r>
      <w:r>
        <w:rPr>
          <w:color w:val="000000"/>
          <w:u w:color="000000"/>
        </w:rPr>
        <w:t>ywność zabudowy – 0,04,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k) </w:t>
      </w:r>
      <w:r>
        <w:rPr>
          <w:color w:val="000000"/>
          <w:u w:color="000000"/>
        </w:rPr>
        <w:t>minimalna powierzchnia nowo wydzielanej działki budowlanej 1200 m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, parametr ten nie obowiązuje przy wydzielaniu działek pod nowe drogi, w celu poszerzenia istniejących dróg, na powiększenie działek sąsiednich, a także w celu </w:t>
      </w:r>
      <w:r>
        <w:rPr>
          <w:color w:val="000000"/>
          <w:u w:color="000000"/>
        </w:rPr>
        <w:t>sytuowania urządzeń infrastruktury technicznej;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zasady ochrony środowiska, przyrody i krajobrazu: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tereny oznaczone symbolami 1 MN i 2 MN znajdują się w granicach Bolimowsko-Radziejowickiego z doliną środkowej Rawki Obszaru Chronionego Krajobrazu – ws</w:t>
      </w:r>
      <w:r>
        <w:rPr>
          <w:color w:val="000000"/>
          <w:u w:color="000000"/>
        </w:rPr>
        <w:t>zelkie działania inwestycyjne i sposób zagospodarowania w obszarze regulują przepisy odrębne,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b) </w:t>
      </w:r>
      <w:r>
        <w:rPr>
          <w:color w:val="000000"/>
          <w:u w:color="000000"/>
        </w:rPr>
        <w:t xml:space="preserve">teren oznaczony symbolem 3 MN oraz fragment terenu oznaczonego symbolem 2 MN znajdują się w granicach obszaru zmeliorowanego – w zagospodarowaniu  tej  części </w:t>
      </w:r>
      <w:r>
        <w:rPr>
          <w:color w:val="000000"/>
          <w:u w:color="000000"/>
        </w:rPr>
        <w:t xml:space="preserve"> obszaru  planu  obowiązują  ograniczenia  i  zasady zagospodarowania wynikające przepisów odrębnych;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zasady lokalizacji obiektów i funkcji: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w terenie oznaczonym symbolem 1 MN obowiązuje zachowanie odległości dla lokalizacji budynków od granicy lasu </w:t>
      </w:r>
      <w:r>
        <w:rPr>
          <w:color w:val="000000"/>
          <w:u w:color="000000"/>
        </w:rPr>
        <w:t>zgodnie z przepisami odrębnymi,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w terenach oznaczonych symbolami 2 MN i 3 MN w przypadku wystąpienia kolizji projektowanych zamierzeń inwestycyjnych z istniejącymi urządzeniami melioracji wodnych  dopuszcza  się  przebudowę tych urządzeń pod warunkiem  </w:t>
      </w:r>
      <w:r>
        <w:rPr>
          <w:color w:val="000000"/>
          <w:u w:color="000000"/>
        </w:rPr>
        <w:t>zapewnienia  ich prawidłowego funkcjonowania.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 xml:space="preserve">Dla terenów oznaczonych na rysunku planu </w:t>
      </w:r>
      <w:r>
        <w:rPr>
          <w:b/>
          <w:color w:val="000000"/>
          <w:u w:color="000000"/>
        </w:rPr>
        <w:t xml:space="preserve">symbolami: 5 MNu, 6 MNu </w:t>
      </w:r>
      <w:r>
        <w:rPr>
          <w:color w:val="000000"/>
          <w:u w:color="000000"/>
        </w:rPr>
        <w:t xml:space="preserve">ustala się: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zabudowy mieszkaniowej jednorodzinnej z usługami;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dopuszcza się remonty i przebudowę istniejących obiektów,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rozbudowę i nadbudowę istniejących obiektów zgodnie z parametrami określonymi dla terenu,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funkcja usługowa może być realizowana w części budynku mieszkalnego lub w odrębnym budyn</w:t>
      </w:r>
      <w:r>
        <w:rPr>
          <w:color w:val="000000"/>
          <w:u w:color="000000"/>
        </w:rPr>
        <w:t>ku,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maksymalna wysokość budynków mieszkalnych, mieszkalno-usługowych i usługowych – 9,0 m,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maksymalna wysokość budynków gospodarczych i garażowych – 5,0 m,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dachy płaskie, jednospadowe, dwu- lub wielospadowe o nachyleniu połaci dachowych od 20</w:t>
      </w:r>
      <w:r>
        <w:rPr>
          <w:color w:val="000000"/>
          <w:u w:color="000000"/>
          <w:vertAlign w:val="superscript"/>
        </w:rPr>
        <w:t>0</w:t>
      </w:r>
      <w:r>
        <w:rPr>
          <w:color w:val="000000"/>
          <w:u w:color="000000"/>
        </w:rPr>
        <w:t xml:space="preserve"> do </w:t>
      </w:r>
      <w:r>
        <w:rPr>
          <w:color w:val="000000"/>
          <w:u w:color="000000"/>
        </w:rPr>
        <w:t>45</w:t>
      </w:r>
      <w:r>
        <w:rPr>
          <w:color w:val="000000"/>
          <w:u w:color="000000"/>
          <w:vertAlign w:val="superscript"/>
        </w:rPr>
        <w:t>0</w:t>
      </w:r>
      <w:r>
        <w:rPr>
          <w:color w:val="000000"/>
          <w:u w:color="000000"/>
        </w:rPr>
        <w:t xml:space="preserve">, 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minimalny wskaźnik powierzchni biologicznie czynnej – 65%,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maksymalny wskaźnik powierzchni zabudowy – 30%,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maksymalna intensywność zabudowy – 0,5,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minimalna intensywność zabudowy – 0,04,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k) </w:t>
      </w:r>
      <w:r>
        <w:rPr>
          <w:color w:val="000000"/>
          <w:u w:color="000000"/>
        </w:rPr>
        <w:t xml:space="preserve">minimalna powierzchnia nowo wydzielanej działki </w:t>
      </w:r>
      <w:r>
        <w:rPr>
          <w:color w:val="000000"/>
          <w:u w:color="000000"/>
        </w:rPr>
        <w:t>budowlanej 1200 m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>, parametr ten nie obowiązuje przy wydzielaniu działek w celu poszerzenia istniejących dróg, na powiększenie działek sąsiednich, a także w celu sytuowania urządzeń infrastruktury technicznej.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 zakresie lokalizacji obiektów i funkcji –</w:t>
      </w:r>
      <w:r>
        <w:rPr>
          <w:color w:val="000000"/>
          <w:u w:color="000000"/>
        </w:rPr>
        <w:t xml:space="preserve"> w terenie 6 MNu obowiązuje zachowanie odległości dla sytuowania budynków od granicy lasu zgodnie przepisami odrębnymi.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16. </w:t>
      </w:r>
      <w:r>
        <w:rPr>
          <w:color w:val="000000"/>
          <w:u w:color="000000"/>
        </w:rPr>
        <w:t xml:space="preserve">Dla terenu oznaczonego na rysunku planu </w:t>
      </w:r>
      <w:r>
        <w:rPr>
          <w:b/>
          <w:color w:val="000000"/>
          <w:u w:color="000000"/>
        </w:rPr>
        <w:t xml:space="preserve">symbolem 7 Ls </w:t>
      </w:r>
      <w:r>
        <w:rPr>
          <w:color w:val="000000"/>
          <w:u w:color="000000"/>
        </w:rPr>
        <w:t xml:space="preserve">ustala się: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lasu;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</w:t>
      </w:r>
      <w:r>
        <w:rPr>
          <w:color w:val="000000"/>
          <w:u w:color="000000"/>
        </w:rPr>
        <w:t>podarowania: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minimalny wskaźnik powierzchni biologicznie czynnej – 100%,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ustala się zagospodarowanie terenu zgodnie z przepisami odrębnymi, w tym zgodnie z planem urządzenia lasu,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ustala się zakaz realizacji nowej zabudowy;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zasady ochrony środo</w:t>
      </w:r>
      <w:r>
        <w:rPr>
          <w:color w:val="000000"/>
          <w:u w:color="000000"/>
        </w:rPr>
        <w:t>wiska, przyrody i krajobrazu - teren znajduje się w granicach Bolimowsko-Radziejowickiego z doliną środkowej Rawki Obszaru Chronionego Krajobrazu – wszelkie działania inwestycyjne i sposób zagospodarowania w obszarze regulują przepisy odrębne.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Dla te</w:t>
      </w:r>
      <w:r>
        <w:rPr>
          <w:color w:val="000000"/>
          <w:u w:color="000000"/>
        </w:rPr>
        <w:t xml:space="preserve">renów oznaczonych na rysunku planu </w:t>
      </w:r>
      <w:r>
        <w:rPr>
          <w:b/>
          <w:color w:val="000000"/>
          <w:u w:color="000000"/>
        </w:rPr>
        <w:t xml:space="preserve">symbolami 8 Wr i 9 Wr </w:t>
      </w:r>
      <w:r>
        <w:rPr>
          <w:color w:val="000000"/>
          <w:u w:color="000000"/>
        </w:rPr>
        <w:t xml:space="preserve">ustala się: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rowu melioracyjnego;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minimalny wskaźnik powierzchni biologicznie czynnej – 100%,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ustala się zakaz realizacji </w:t>
      </w:r>
      <w:r>
        <w:rPr>
          <w:color w:val="000000"/>
          <w:u w:color="000000"/>
        </w:rPr>
        <w:t>nowej zabudowy,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ustala się zakaz likwidacji rowu melioracyjnego,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d) </w:t>
      </w:r>
      <w:r>
        <w:rPr>
          <w:color w:val="000000"/>
          <w:u w:color="000000"/>
        </w:rPr>
        <w:t>dopuszcza się przykrycie i skanalizowanie rowu odwadniającego,  pod  warunkiem  zapewnienia jego prawidłowego funkcjonowania.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 xml:space="preserve">Dla terenu oznaczonego na rysunku planu </w:t>
      </w:r>
      <w:r>
        <w:rPr>
          <w:b/>
          <w:color w:val="000000"/>
          <w:u w:color="000000"/>
        </w:rPr>
        <w:t>symbolem 10 K</w:t>
      </w:r>
      <w:r>
        <w:rPr>
          <w:b/>
          <w:color w:val="000000"/>
          <w:u w:color="000000"/>
        </w:rPr>
        <w:t xml:space="preserve">DD </w:t>
      </w:r>
      <w:r>
        <w:rPr>
          <w:color w:val="000000"/>
          <w:u w:color="000000"/>
        </w:rPr>
        <w:t xml:space="preserve">ustala się: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drogi publicznej, klasy dojazdowej;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fragment pasa drogowego drogi publicznej, klasy dojazdowej – ulicy Bednarskiej,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szerokość w liniach rozgraniczających – 10,0 m, </w:t>
      </w:r>
      <w:r>
        <w:rPr>
          <w:color w:val="000000"/>
          <w:u w:color="000000"/>
        </w:rPr>
        <w:t>zgodnie z rysunkiem planu;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zasady ochrony środowiska, przyrody i krajobrazu – fragment terenu znajduje się w granicach obszaru zmeliorowanego – w zagospodarowaniu  tej  części  terenu  obowiązują  ograniczenia  i  zasady zagospodarowania wynikające prze</w:t>
      </w:r>
      <w:r>
        <w:rPr>
          <w:color w:val="000000"/>
          <w:u w:color="000000"/>
        </w:rPr>
        <w:t>pisów odrębnych;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zasady lokalizacji obiektów i funkcji – w przypadku wystąpienia kolizji projektowanych zamierzeń inwestycyjnych z istniejącymi urządzeniami melioracji wodnych  dopuszcza  się  przebudowę tych urządzeń pod warunkiem  zapewnienia  ich pra</w:t>
      </w:r>
      <w:r>
        <w:rPr>
          <w:color w:val="000000"/>
          <w:u w:color="000000"/>
        </w:rPr>
        <w:t>widłowego funkcjonowania.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19. </w:t>
      </w:r>
      <w:r>
        <w:rPr>
          <w:color w:val="000000"/>
          <w:u w:color="000000"/>
        </w:rPr>
        <w:t xml:space="preserve">Dla terenów oznaczonych na rysunku planu </w:t>
      </w:r>
      <w:r>
        <w:rPr>
          <w:b/>
          <w:color w:val="000000"/>
          <w:u w:color="000000"/>
        </w:rPr>
        <w:t xml:space="preserve">symbolami: 11 KDW, 12 KDW, 13 KDW </w:t>
      </w:r>
      <w:r>
        <w:rPr>
          <w:color w:val="000000"/>
          <w:u w:color="000000"/>
        </w:rPr>
        <w:t xml:space="preserve">ustala się: 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– teren drogi wewnętrznej;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i warunki zagospodarowania – szerokość w liniach rozgraniczających drogi: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</w:t>
      </w:r>
      <w:r>
        <w:t>) </w:t>
      </w:r>
      <w:r>
        <w:rPr>
          <w:color w:val="000000"/>
          <w:u w:color="000000"/>
        </w:rPr>
        <w:t>oznaczonej symbolem 11 KDW – 6,0 m, z poszerzeniem na plac do zawracania pojazdów oraz z poszerzeniem w rejonie skrzyżowania z drogą oznaczoną symbolem 10 KDD, zgodnie z rysunkiem planu,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oznaczonej symbolem 12 KDW – 8,0, z poszerzeniem na plac do zawr</w:t>
      </w:r>
      <w:r>
        <w:rPr>
          <w:color w:val="000000"/>
          <w:u w:color="000000"/>
        </w:rPr>
        <w:t>acania pojazdów do 12,0 m oraz z poszerzeniem w rejonie skrzyżowania z drogą oznaczoną symbolem 10 KDD, zgodnie z rysunkiem planu,</w:t>
      </w:r>
    </w:p>
    <w:p w:rsidR="00A77B3E" w:rsidRDefault="000E436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oznaczonej symbolem 13 KDW – 6,0 m,  z poszerzeniem w rejonie skrzyżowania z drogą oznaczoną 10 KDD, zgodnie z rysunkiem p</w:t>
      </w:r>
      <w:r>
        <w:rPr>
          <w:color w:val="000000"/>
          <w:u w:color="000000"/>
        </w:rPr>
        <w:t>lanu;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zasady ochrony środowiska, przyrody i krajobrazu – teren oznaczony symbolem 12 KDW znajduje się w granicach obszaru zmeliorowanego – w zagospodarowaniu  tej  części  terenu  obowiązują  ograniczenia  i zasady zagospodarowania wynikające przepisów </w:t>
      </w:r>
      <w:r>
        <w:rPr>
          <w:color w:val="000000"/>
          <w:u w:color="000000"/>
        </w:rPr>
        <w:t>odrębnych;</w:t>
      </w:r>
    </w:p>
    <w:p w:rsidR="00A77B3E" w:rsidRDefault="000E436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zasady lokalizacji obiektów i funkcji – w terenie oznaczonym symbolem 12 KDW w przypadku wystąpienia kolizji projektowanych zamierzeń inwestycyjnych z istniejącymi urządzeniami melioracji wodnych  dopuszcza  się  przebudowę tych urządzeń pod </w:t>
      </w:r>
      <w:r>
        <w:rPr>
          <w:color w:val="000000"/>
          <w:u w:color="000000"/>
        </w:rPr>
        <w:t>warunkiem  zapewnienia  ich prawidłowego funkcjonowania.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rPr>
          <w:color w:val="000000"/>
          <w:u w:color="000000"/>
        </w:rPr>
        <w:t>Niniejszym planem ustala się stawkę procentową, służącą naliczaniu opłaty z tytułu wzrostu wartości nieruchomości w wysokości 20%.</w:t>
      </w:r>
    </w:p>
    <w:p w:rsidR="00A77B3E" w:rsidRDefault="000E436B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4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rPr>
          <w:color w:val="000000"/>
          <w:u w:color="000000"/>
        </w:rPr>
        <w:t xml:space="preserve">Traci moc uchwała Nr </w:t>
      </w:r>
      <w:r>
        <w:rPr>
          <w:color w:val="000000"/>
          <w:u w:color="000000"/>
        </w:rPr>
        <w:t>XV/83/2004 Rady Gminy w Radziejowicach z dnia 11 lutego 2004 r. w sprawie uchwalenia miejscowego planu zagospodarowania przestrzennego gminy Radziejowice w zakresie obszaru objętego niniejszym planem.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rPr>
          <w:color w:val="000000"/>
          <w:u w:color="000000"/>
        </w:rPr>
        <w:t xml:space="preserve">Uchwała podlega ogłoszeniu w Dzienniku Urzędowym </w:t>
      </w:r>
      <w:r>
        <w:rPr>
          <w:color w:val="000000"/>
          <w:u w:color="000000"/>
        </w:rPr>
        <w:t>Województwa Mazowieckiego.</w:t>
      </w:r>
    </w:p>
    <w:p w:rsidR="00A77B3E" w:rsidRDefault="000E436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rPr>
          <w:color w:val="000000"/>
          <w:u w:color="000000"/>
        </w:rPr>
        <w:t>Uchwała wchodzi w życie po upływie 14 dni od dnia ogłoszenia w Dzienniku Urzędowym Województwa Mazowieckiego.</w:t>
      </w:r>
    </w:p>
    <w:p w:rsidR="00A77B3E" w:rsidRDefault="000E436B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24. </w:t>
      </w:r>
      <w:r>
        <w:rPr>
          <w:color w:val="000000"/>
          <w:u w:color="000000"/>
        </w:rPr>
        <w:t xml:space="preserve">Uchwała podlega publikacji na stronie internetowej Biuletynu Informacji Publicznej Urzędu Gminy </w:t>
      </w:r>
      <w:r>
        <w:rPr>
          <w:color w:val="000000"/>
          <w:u w:color="000000"/>
        </w:rPr>
        <w:t>Radziejowice.</w:t>
      </w:r>
    </w:p>
    <w:p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0E436B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/>
      </w:tblPr>
      <w:tblGrid>
        <w:gridCol w:w="4938"/>
        <w:gridCol w:w="4938"/>
      </w:tblGrid>
      <w:tr w:rsidR="00F62258">
        <w:tc>
          <w:tcPr>
            <w:tcW w:w="2500" w:type="pct"/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F62258" w:rsidRDefault="00F62258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F62258" w:rsidRDefault="000E436B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Gminy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Grażyna Górka</w:t>
            </w:r>
          </w:p>
        </w:tc>
      </w:tr>
    </w:tbl>
    <w:p w:rsidR="00A77B3E" w:rsidRDefault="00A77B3E">
      <w:pPr>
        <w:keepNext/>
        <w:rPr>
          <w:color w:val="000000"/>
          <w:u w:color="000000"/>
        </w:rPr>
        <w:sectPr w:rsidR="00A77B3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 w:rsidR="00A77B3E" w:rsidRDefault="000E436B">
      <w:pPr>
        <w:spacing w:before="120" w:after="120" w:line="360" w:lineRule="auto"/>
        <w:ind w:left="499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Załącznik Nr 1 do uchwały Nr XLII/303/2021</w:t>
      </w:r>
      <w:r>
        <w:rPr>
          <w:color w:val="000000"/>
          <w:u w:color="000000"/>
        </w:rPr>
        <w:br/>
      </w:r>
      <w:r>
        <w:rPr>
          <w:color w:val="000000"/>
          <w:u w:color="000000"/>
        </w:rPr>
        <w:t>Rady Gminy Radziejowice</w:t>
      </w:r>
      <w:r>
        <w:rPr>
          <w:color w:val="000000"/>
          <w:u w:color="000000"/>
        </w:rPr>
        <w:br/>
        <w:t>z dnia 18 października 2021 r.</w:t>
      </w:r>
    </w:p>
    <w:p w:rsidR="00A77B3E" w:rsidRDefault="000E436B">
      <w:pPr>
        <w:spacing w:before="120" w:after="120"/>
        <w:ind w:left="283" w:firstLine="227"/>
        <w:jc w:val="left"/>
        <w:rPr>
          <w:color w:val="000000"/>
          <w:u w:color="000000"/>
        </w:rPr>
      </w:pPr>
      <w:r>
        <w:rPr>
          <w:noProof/>
          <w:color w:val="000000"/>
          <w:u w:color="000000"/>
          <w:lang w:bidi="ar-SA"/>
        </w:rPr>
        <w:drawing>
          <wp:inline distT="0" distB="0" distL="0" distR="0">
            <wp:extent cx="4850430" cy="8075966"/>
            <wp:effectExtent l="0" t="0" r="0" b="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0430" cy="8075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 w:rsidRDefault="00A77B3E">
      <w:pPr>
        <w:spacing w:before="120" w:after="120"/>
        <w:ind w:left="283" w:firstLine="227"/>
        <w:jc w:val="left"/>
        <w:rPr>
          <w:color w:val="000000"/>
          <w:u w:color="000000"/>
        </w:rPr>
        <w:sectPr w:rsidR="00A77B3E">
          <w:footerReference w:type="default" r:id="rId14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 w:rsidR="00A77B3E" w:rsidRDefault="000E436B">
      <w:pPr>
        <w:spacing w:before="120" w:after="120" w:line="360" w:lineRule="auto"/>
        <w:ind w:left="9929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Załącznik Nr 2 do uchwały Nr XLII/303/2021</w:t>
      </w:r>
      <w:r>
        <w:rPr>
          <w:color w:val="000000"/>
          <w:u w:color="000000"/>
        </w:rPr>
        <w:br/>
        <w:t>Rady Gminy Radziejowice</w:t>
      </w:r>
      <w:r>
        <w:rPr>
          <w:color w:val="000000"/>
          <w:u w:color="000000"/>
        </w:rPr>
        <w:br/>
        <w:t>z dnia 18 października 2021 r.</w:t>
      </w:r>
    </w:p>
    <w:p w:rsidR="00A77B3E" w:rsidRDefault="000E436B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ROZSTRZYGNIECIE O SPOSOBIE ROZPATRZENIA UWAG  DO PROJEKTU MIEJSCOWEGO PLANU  ZAGOSPODAROWANIA PRZESTRZENNEGO OBEJMUJACEGO FRAGMENT MIEJSCOWOŚCI BENENARD </w:t>
      </w:r>
    </w:p>
    <w:p w:rsidR="00A77B3E" w:rsidRDefault="000E436B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Projekt planu wraz z prognozą  oddziaływania na środowisko został dwukrotnie wyłożony do publicznego w</w:t>
      </w:r>
      <w:r>
        <w:rPr>
          <w:b/>
          <w:color w:val="000000"/>
          <w:u w:color="000000"/>
        </w:rPr>
        <w:t>glądu. Podczas pierwszego wyłożenia w okresie od dnia 10 marca 2021 r. do dnia  9 kwietnia 2021 r.,  termin składania uwag do dnia 27 kwietnia 2021 r. wpłynęła uwaga, która nie została uwzględniona w procedurze sporządzania planu. Rada Gminy przyjmuje nast</w:t>
      </w:r>
      <w:r>
        <w:rPr>
          <w:b/>
          <w:color w:val="000000"/>
          <w:u w:color="000000"/>
        </w:rPr>
        <w:t>ępujący sposób rozpatrzenia.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5"/>
        <w:gridCol w:w="994"/>
        <w:gridCol w:w="1616"/>
        <w:gridCol w:w="1476"/>
        <w:gridCol w:w="2362"/>
        <w:gridCol w:w="1616"/>
        <w:gridCol w:w="886"/>
        <w:gridCol w:w="886"/>
        <w:gridCol w:w="886"/>
        <w:gridCol w:w="886"/>
        <w:gridCol w:w="2595"/>
      </w:tblGrid>
      <w:tr w:rsidR="00F62258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Data wpływu uwagi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Nazwisko i imię, nazwa jednostki organizacyjnej i adres zgłaszającego uwagi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Oznaczenie nieruchomości, której dotyczy uwaga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Treść uwagi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Ustalenia projektu planu dla nieruchomości, której dotyczy uwaga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Rozst</w:t>
            </w:r>
            <w:r>
              <w:rPr>
                <w:sz w:val="18"/>
              </w:rPr>
              <w:t>rzygnięcie</w:t>
            </w:r>
          </w:p>
          <w:p w:rsidR="00F62258" w:rsidRDefault="000E436B">
            <w:pPr>
              <w:jc w:val="center"/>
            </w:pPr>
            <w:r>
              <w:rPr>
                <w:sz w:val="18"/>
              </w:rPr>
              <w:t>Wójta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Rozstrzygnięcie</w:t>
            </w:r>
          </w:p>
          <w:p w:rsidR="00F62258" w:rsidRDefault="000E436B">
            <w:pPr>
              <w:jc w:val="center"/>
            </w:pPr>
            <w:r>
              <w:rPr>
                <w:sz w:val="18"/>
              </w:rPr>
              <w:t>Rady Gminy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Uzasadnienie</w:t>
            </w:r>
          </w:p>
        </w:tc>
      </w:tr>
      <w:tr w:rsidR="00F62258">
        <w:trPr>
          <w:trHeight w:val="162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Uwaga uwzględniona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Uwaga nieuwzględniona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Uwaga uwzględniona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Uwaga nieuwzględniona</w:t>
            </w: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F6225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</w:tr>
      <w:tr w:rsidR="00F62258">
        <w:trPr>
          <w:trHeight w:val="23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  <w:p w:rsidR="00F62258" w:rsidRDefault="00F62258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ochrona danych osobowych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Działka sąsiadująca bezpośrednio z działkami położonymi w </w:t>
            </w:r>
            <w:r>
              <w:rPr>
                <w:sz w:val="20"/>
              </w:rPr>
              <w:t>terenach oznaczonych symbolami 5 MNu i 6MNu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Dla terenów oznaczonych symbolami 5 MNu i 6 MNu ustala się maksymalny wskaźnik powierzchni zabudowy 30%.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A77B3E" w:rsidRDefault="000E436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Uwaga nieuwzględniona</w:t>
            </w:r>
          </w:p>
          <w:p w:rsidR="00F62258" w:rsidRDefault="00F62258"/>
          <w:p w:rsidR="00F62258" w:rsidRDefault="000E436B">
            <w:pPr>
              <w:jc w:val="left"/>
            </w:pPr>
            <w:r>
              <w:rPr>
                <w:sz w:val="20"/>
              </w:rPr>
              <w:t xml:space="preserve">Projekt planu zawiera ustalenia, które ograniczają realizację zabudowy </w:t>
            </w:r>
            <w:r>
              <w:rPr>
                <w:sz w:val="20"/>
              </w:rPr>
              <w:t>usługowej na działkach budowalnych w terenach 5 MNu i 6 MNu. Są to  ustalenia dotyczące:</w:t>
            </w:r>
          </w:p>
          <w:p w:rsidR="00F62258" w:rsidRDefault="000E436B">
            <w:pPr>
              <w:jc w:val="left"/>
            </w:pPr>
            <w:r>
              <w:rPr>
                <w:sz w:val="20"/>
              </w:rPr>
              <w:t xml:space="preserve"> - lokalizacji zabudowy usługowej jako funkcji współistniejącej na działce z zabudową mieszkaniową jednorodzinną,</w:t>
            </w:r>
          </w:p>
          <w:p w:rsidR="00F62258" w:rsidRDefault="000E436B">
            <w:pPr>
              <w:jc w:val="left"/>
            </w:pPr>
            <w:r>
              <w:rPr>
                <w:sz w:val="20"/>
              </w:rPr>
              <w:t>- zakwalifikowania terenów 5 MNu i 6 MNu pod względem</w:t>
            </w:r>
            <w:r>
              <w:rPr>
                <w:sz w:val="20"/>
              </w:rPr>
              <w:t xml:space="preserve"> ochrony akustycznej do rodzajów terenów o dopuszczalnym poziomie hałasu w środowisku „jako tereny mieszkaniowo-</w:t>
            </w:r>
            <w:r>
              <w:rPr>
                <w:sz w:val="20"/>
              </w:rPr>
              <w:lastRenderedPageBreak/>
              <w:t xml:space="preserve">usługowe”, </w:t>
            </w:r>
          </w:p>
          <w:p w:rsidR="00F62258" w:rsidRDefault="000E436B">
            <w:pPr>
              <w:jc w:val="left"/>
            </w:pPr>
            <w:r>
              <w:rPr>
                <w:sz w:val="20"/>
              </w:rPr>
              <w:t xml:space="preserve">- wprowadzenie zapisu zakazującego realizacji przedsięwzięć mogących znacząco (zawsze i potencjalnie) oddziaływać na środowisko. </w:t>
            </w:r>
          </w:p>
          <w:p w:rsidR="00F62258" w:rsidRDefault="000E436B">
            <w:pPr>
              <w:jc w:val="left"/>
            </w:pPr>
            <w:r>
              <w:rPr>
                <w:sz w:val="20"/>
              </w:rPr>
              <w:t>Bi</w:t>
            </w:r>
            <w:r>
              <w:rPr>
                <w:sz w:val="20"/>
              </w:rPr>
              <w:t>orąc powyższe pod uwagę oraz ustaloną w ww. terenach maksymalną powierzchnię zabudowy na poziomie 30 % powierzchni działki budowalnej uznaje się, że brak jest uzasadnienia dla wprowadzenia dodatkowego ograniczenia w postaci określenia  wskaźnika maksymalne</w:t>
            </w:r>
            <w:r>
              <w:rPr>
                <w:sz w:val="20"/>
              </w:rPr>
              <w:t xml:space="preserve">j powierzchni zabudowy dla budynków usługowych. 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15"/>
          <w:endnotePr>
            <w:numFmt w:val="decimal"/>
          </w:endnotePr>
          <w:pgSz w:w="16838" w:h="11906" w:orient="landscape"/>
          <w:pgMar w:top="992" w:right="1020" w:bottom="992" w:left="1020" w:header="708" w:footer="708" w:gutter="0"/>
          <w:cols w:space="708"/>
          <w:docGrid w:linePitch="360"/>
        </w:sectPr>
      </w:pPr>
    </w:p>
    <w:p w:rsidR="00A77B3E" w:rsidRDefault="000E436B">
      <w:pPr>
        <w:keepNext/>
        <w:spacing w:before="120" w:after="120" w:line="360" w:lineRule="auto"/>
        <w:ind w:left="499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Załącznik Nr 3 do uchwały Nr XLII/303/2021</w:t>
      </w:r>
      <w:r>
        <w:rPr>
          <w:color w:val="000000"/>
          <w:u w:color="000000"/>
        </w:rPr>
        <w:br/>
        <w:t>Rady Gminy Radziejowice</w:t>
      </w:r>
      <w:r>
        <w:rPr>
          <w:color w:val="000000"/>
          <w:u w:color="000000"/>
        </w:rPr>
        <w:br/>
        <w:t>z dnia 18 października 2021 r.</w:t>
      </w:r>
    </w:p>
    <w:p w:rsidR="00A77B3E" w:rsidRDefault="000E436B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ROZSTRZYGNIĘCIE</w:t>
      </w:r>
      <w:r>
        <w:rPr>
          <w:b/>
          <w:color w:val="000000"/>
          <w:u w:color="000000"/>
        </w:rPr>
        <w:br/>
        <w:t xml:space="preserve">o </w:t>
      </w:r>
      <w:r>
        <w:rPr>
          <w:b/>
          <w:color w:val="000000"/>
          <w:u w:color="000000"/>
        </w:rPr>
        <w:t>sposobie realizacji, zapisanych w planie inwestycji z zakresu infrastruktury technicznej, które należą do zadań własnych gminy oraz zasadach ich finansowania</w:t>
      </w:r>
    </w:p>
    <w:p w:rsidR="00A77B3E" w:rsidRDefault="000E436B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związku z art. 20 ust. 1 ustawy o planowaniu i zagospodarowaniu przestrzennym (Dz.U. z 2021 r. p</w:t>
      </w:r>
      <w:r>
        <w:rPr>
          <w:color w:val="000000"/>
          <w:u w:color="000000"/>
        </w:rPr>
        <w:t>oz. 741 z późn. zm.) określa się następujący sposób realizacji oraz zasady finansowania inwestycji z zakresu infrastruktury technicznej, które należą do zadań własnych gminy, zapisanych w miejscowym planie zagospodarowania przestrzennego gminy Radziejowice</w:t>
      </w:r>
      <w:r>
        <w:rPr>
          <w:color w:val="000000"/>
          <w:u w:color="000000"/>
        </w:rPr>
        <w:t xml:space="preserve"> obejmującym fragment miejscowości Benenard.</w:t>
      </w:r>
    </w:p>
    <w:p w:rsidR="00A77B3E" w:rsidRDefault="000E436B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Przewidywane wydatki inwestycyjne, których zakres wynika z realizacji planu miejscowego, to wydatki związane z regulacją pasów drogowych wyznaczonych w planie ulic oraz z budową sieci infrastruktury technicznej </w:t>
      </w:r>
      <w:r>
        <w:rPr>
          <w:color w:val="000000"/>
          <w:u w:color="000000"/>
        </w:rPr>
        <w:t>– wodociągowej,  kanalizacyjnej, elektroenergetycznej i gazowej. Z regulacją pasów drogowych wiąże się konieczność nabycia gruntów prywatnych o powierzchni  ok. 685 m</w:t>
      </w:r>
      <w:r>
        <w:rPr>
          <w:color w:val="000000"/>
          <w:u w:color="000000"/>
          <w:vertAlign w:val="superscript"/>
        </w:rPr>
        <w:t>2.</w:t>
      </w:r>
      <w:r>
        <w:rPr>
          <w:color w:val="000000"/>
          <w:u w:color="000000"/>
        </w:rPr>
        <w:t xml:space="preserve">. </w:t>
      </w:r>
    </w:p>
    <w:p w:rsidR="00A77B3E" w:rsidRDefault="000E436B">
      <w:pPr>
        <w:spacing w:before="120" w:after="120"/>
        <w:ind w:left="283" w:firstLine="227"/>
        <w:rPr>
          <w:color w:val="000000"/>
          <w:u w:color="000000"/>
        </w:rPr>
        <w:sectPr w:rsidR="00A77B3E">
          <w:footerReference w:type="default" r:id="rId16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  <w:r>
        <w:rPr>
          <w:color w:val="000000"/>
          <w:u w:color="000000"/>
        </w:rPr>
        <w:t>Powyższe zadania inwestycyjne będą realizowane i finasowane w całości lub części z budżetu Gminy oraz źródeł zewnętrznych (funduszy ochrony środowiska i funduszy unijnych) w oparciu o obowiązujące przepisy i zawarte umowy.</w:t>
      </w:r>
    </w:p>
    <w:p w:rsidR="00A77B3E" w:rsidRDefault="000E436B">
      <w:pPr>
        <w:keepNext/>
        <w:spacing w:before="280" w:after="280" w:line="360" w:lineRule="auto"/>
        <w:ind w:left="4535"/>
        <w:jc w:val="left"/>
        <w:rPr>
          <w:color w:val="000000"/>
          <w:u w:color="000000"/>
        </w:rPr>
      </w:pPr>
      <w:r>
        <w:lastRenderedPageBreak/>
        <w:t>Załącznik Nr 4 do uchwały</w:t>
      </w:r>
      <w:r>
        <w:rPr>
          <w:color w:val="000000"/>
          <w:u w:color="000000"/>
        </w:rPr>
        <w:t xml:space="preserve"> Nr XLII</w:t>
      </w:r>
      <w:r>
        <w:rPr>
          <w:color w:val="000000"/>
          <w:u w:color="000000"/>
        </w:rPr>
        <w:t>/303/2021</w:t>
      </w:r>
      <w:r>
        <w:rPr>
          <w:color w:val="000000"/>
          <w:u w:color="000000"/>
        </w:rPr>
        <w:br/>
      </w:r>
      <w:r>
        <w:t>Rady Gminy Radziejowice</w:t>
      </w:r>
      <w:r>
        <w:rPr>
          <w:color w:val="000000"/>
          <w:u w:color="000000"/>
        </w:rPr>
        <w:br/>
      </w:r>
      <w:r>
        <w:t>z dnia 18 października 2021 r.</w:t>
      </w:r>
      <w:r>
        <w:rPr>
          <w:color w:val="000000"/>
          <w:u w:color="000000"/>
        </w:rPr>
        <w:br/>
      </w:r>
      <w:hyperlink r:id="rId17" w:history="1">
        <w:r>
          <w:rPr>
            <w:rStyle w:val="Hipercze"/>
            <w:color w:val="000000"/>
            <w:u w:val="none" w:color="000000"/>
          </w:rPr>
          <w:t>Zalacznik4.xml</w:t>
        </w:r>
      </w:hyperlink>
    </w:p>
    <w:p w:rsidR="00A77B3E" w:rsidRDefault="000E436B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Na podstawie art. 67 a ust. 3 i 5 ustawy z dnia 27 marca 2003 r. o planowaniu i zagospodarowaniu przestrzennym (Dz. U. z 2021 r. poz. 741 z późn. z</w:t>
      </w:r>
      <w:r>
        <w:rPr>
          <w:b/>
          <w:color w:val="000000"/>
          <w:u w:color="000000"/>
        </w:rPr>
        <w:t>m.) przygotowano dane przestrzenne dla planu, które stanowią załącznik nr 4 w postaci cyfrowej do uchwały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</w:p>
    <w:sectPr w:rsidR="00A77B3E" w:rsidSect="00F62258">
      <w:footerReference w:type="default" r:id="rId18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36B" w:rsidRDefault="000E436B" w:rsidP="00F62258">
      <w:r>
        <w:separator/>
      </w:r>
    </w:p>
  </w:endnote>
  <w:endnote w:type="continuationSeparator" w:id="1">
    <w:p w:rsidR="000E436B" w:rsidRDefault="000E436B" w:rsidP="00F62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EE" w:rsidRDefault="005C47E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58" w:rsidRDefault="00F62258">
    <w:pPr>
      <w:rPr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EE" w:rsidRDefault="005C47EE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84"/>
      <w:gridCol w:w="3292"/>
    </w:tblGrid>
    <w:tr w:rsidR="00F62258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left"/>
            <w:rPr>
              <w:sz w:val="18"/>
            </w:rPr>
          </w:pP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right"/>
            <w:rPr>
              <w:sz w:val="18"/>
            </w:rPr>
          </w:pPr>
        </w:p>
      </w:tc>
    </w:tr>
  </w:tbl>
  <w:p w:rsidR="00F62258" w:rsidRDefault="00F62258">
    <w:pPr>
      <w:rPr>
        <w:sz w:val="18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872"/>
      <w:gridCol w:w="4936"/>
    </w:tblGrid>
    <w:tr w:rsidR="00F62258">
      <w:tc>
        <w:tcPr>
          <w:tcW w:w="9865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left"/>
            <w:rPr>
              <w:sz w:val="18"/>
            </w:rPr>
          </w:pPr>
        </w:p>
      </w:tc>
      <w:tc>
        <w:tcPr>
          <w:tcW w:w="4933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right"/>
            <w:rPr>
              <w:sz w:val="18"/>
            </w:rPr>
          </w:pPr>
        </w:p>
      </w:tc>
    </w:tr>
  </w:tbl>
  <w:p w:rsidR="00F62258" w:rsidRDefault="00F62258">
    <w:pPr>
      <w:rPr>
        <w:sz w:val="18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84"/>
      <w:gridCol w:w="3292"/>
    </w:tblGrid>
    <w:tr w:rsidR="00F62258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left"/>
            <w:rPr>
              <w:sz w:val="18"/>
            </w:rPr>
          </w:pP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right"/>
            <w:rPr>
              <w:sz w:val="18"/>
            </w:rPr>
          </w:pPr>
        </w:p>
      </w:tc>
    </w:tr>
  </w:tbl>
  <w:p w:rsidR="00F62258" w:rsidRDefault="00F62258">
    <w:pPr>
      <w:rPr>
        <w:sz w:val="18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84"/>
      <w:gridCol w:w="3292"/>
    </w:tblGrid>
    <w:tr w:rsidR="00F62258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left"/>
            <w:rPr>
              <w:sz w:val="18"/>
            </w:rPr>
          </w:pP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/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F62258" w:rsidRDefault="00F62258">
          <w:pPr>
            <w:jc w:val="right"/>
            <w:rPr>
              <w:sz w:val="18"/>
            </w:rPr>
          </w:pPr>
        </w:p>
      </w:tc>
    </w:tr>
  </w:tbl>
  <w:p w:rsidR="00F62258" w:rsidRDefault="00F62258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36B" w:rsidRDefault="000E436B" w:rsidP="00F62258">
      <w:r>
        <w:separator/>
      </w:r>
    </w:p>
  </w:footnote>
  <w:footnote w:type="continuationSeparator" w:id="1">
    <w:p w:rsidR="000E436B" w:rsidRDefault="000E436B" w:rsidP="00F62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EE" w:rsidRDefault="005C47E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EE" w:rsidRDefault="005C47E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EE" w:rsidRDefault="005C47E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stylePaneFormatFilter w:val="3F01"/>
  <w:defaultTabStop w:val="720"/>
  <w:hyphenationZone w:val="425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E436B"/>
    <w:rsid w:val="005C47EE"/>
    <w:rsid w:val="00A77B3E"/>
    <w:rsid w:val="00CA2A55"/>
    <w:rsid w:val="00F6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62258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5C4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47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C4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47EE"/>
    <w:rPr>
      <w:sz w:val="22"/>
      <w:szCs w:val="24"/>
    </w:rPr>
  </w:style>
  <w:style w:type="paragraph" w:styleId="Stopka">
    <w:name w:val="footer"/>
    <w:basedOn w:val="Normalny"/>
    <w:link w:val="StopkaZnak"/>
    <w:rsid w:val="005C4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47EE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Zalacznik10DCE88D-40DB-4649-85C6-A89BF747F867.jpg" TargetMode="External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hyperlink" Target="Zalacznik4.xml" TargetMode="Externa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3925</Words>
  <Characters>23553</Characters>
  <Application>Microsoft Office Word</Application>
  <DocSecurity>0</DocSecurity>
  <Lines>196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Radziejowice</Company>
  <LinksUpToDate>false</LinksUpToDate>
  <CharactersWithSpaces>27424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XLII/303/2021 z dnia 18 października 2021 r.</dc:title>
  <dc:subject>w sprawie miejscowego planu zagospodarowania przestrzennego
obejmującego fragment miejscowości Benenard</dc:subject>
  <dc:creator>rogus_b</dc:creator>
  <cp:lastModifiedBy>rogus_b</cp:lastModifiedBy>
  <cp:revision>2</cp:revision>
  <dcterms:created xsi:type="dcterms:W3CDTF">2021-10-22T09:51:00Z</dcterms:created>
  <dcterms:modified xsi:type="dcterms:W3CDTF">2021-10-22T07:52:00Z</dcterms:modified>
  <cp:category>Akt prawny</cp:category>
</cp:coreProperties>
</file>