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48A" w:rsidRDefault="00D2448A" w:rsidP="008B0978">
      <w:pPr>
        <w:keepNext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1132" w:hanging="1418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851251" w:rsidRDefault="00851251" w:rsidP="008B0978">
      <w:pPr>
        <w:keepNext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1132" w:hanging="1418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7081E" w:rsidRPr="0037081E">
        <w:rPr>
          <w:rFonts w:ascii="Times New Roman" w:hAnsi="Times New Roman" w:cs="Times New Roman"/>
          <w:b/>
          <w:bCs/>
          <w:sz w:val="20"/>
          <w:szCs w:val="20"/>
        </w:rPr>
        <w:t xml:space="preserve">Objaśnienia do Wieloletniej Prognozy Finansowej </w:t>
      </w:r>
    </w:p>
    <w:p w:rsidR="0037081E" w:rsidRPr="0037081E" w:rsidRDefault="00851251" w:rsidP="008B0978">
      <w:pPr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7081E" w:rsidRPr="0037081E">
        <w:rPr>
          <w:rFonts w:ascii="Times New Roman" w:hAnsi="Times New Roman" w:cs="Times New Roman"/>
          <w:b/>
          <w:bCs/>
          <w:sz w:val="20"/>
          <w:szCs w:val="20"/>
        </w:rPr>
        <w:t>Gminy Radziejowice na lata 201</w:t>
      </w:r>
      <w:r w:rsidR="008B0978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8C180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7081E" w:rsidRPr="0037081E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8C180A">
        <w:rPr>
          <w:rFonts w:ascii="Times New Roman" w:hAnsi="Times New Roman" w:cs="Times New Roman"/>
          <w:b/>
          <w:bCs/>
          <w:sz w:val="20"/>
          <w:szCs w:val="20"/>
        </w:rPr>
        <w:t xml:space="preserve"> 20</w:t>
      </w:r>
      <w:r w:rsidR="008B0978">
        <w:rPr>
          <w:rFonts w:ascii="Times New Roman" w:hAnsi="Times New Roman" w:cs="Times New Roman"/>
          <w:b/>
          <w:bCs/>
          <w:sz w:val="20"/>
          <w:szCs w:val="20"/>
        </w:rPr>
        <w:t>22</w:t>
      </w:r>
    </w:p>
    <w:p w:rsidR="0037081E" w:rsidRPr="0037081E" w:rsidRDefault="0037081E" w:rsidP="008B0978">
      <w:pPr>
        <w:keepNext/>
        <w:tabs>
          <w:tab w:val="left" w:pos="51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b/>
          <w:bCs/>
          <w:sz w:val="20"/>
          <w:szCs w:val="20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3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I. GŁÓWNE ZAŁOŻENIA PRZYJĘTE DO OPRACOWANIA WFP</w:t>
      </w:r>
    </w:p>
    <w:p w:rsidR="0037081E" w:rsidRPr="0037081E" w:rsidRDefault="0037081E" w:rsidP="008B09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Wieloletnia Prognoza Finansowa </w:t>
      </w:r>
      <w:r w:rsidR="0066156F">
        <w:rPr>
          <w:rFonts w:ascii="Times New Roman" w:hAnsi="Times New Roman" w:cs="Times New Roman"/>
          <w:sz w:val="24"/>
          <w:szCs w:val="24"/>
        </w:rPr>
        <w:t xml:space="preserve">(WPF) </w:t>
      </w:r>
      <w:r w:rsidRPr="0037081E">
        <w:rPr>
          <w:rFonts w:ascii="Times New Roman" w:hAnsi="Times New Roman" w:cs="Times New Roman"/>
          <w:sz w:val="24"/>
          <w:szCs w:val="24"/>
        </w:rPr>
        <w:t xml:space="preserve">została sporządzona zgodnie z art. 226-232 ustawy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z dnia</w:t>
      </w:r>
      <w:r w:rsidR="008B0978">
        <w:rPr>
          <w:rFonts w:ascii="Times New Roman" w:hAnsi="Times New Roman" w:cs="Times New Roman"/>
          <w:sz w:val="24"/>
          <w:szCs w:val="24"/>
        </w:rPr>
        <w:t xml:space="preserve"> </w:t>
      </w:r>
      <w:r w:rsidR="00752BB3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27 sierpnia 2009 roku o finansach publicznych. Obejmuje ona lata 201</w:t>
      </w:r>
      <w:r w:rsidR="00896697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415338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896697">
        <w:rPr>
          <w:rFonts w:ascii="Times New Roman" w:hAnsi="Times New Roman" w:cs="Times New Roman"/>
          <w:sz w:val="24"/>
          <w:szCs w:val="24"/>
        </w:rPr>
        <w:t>22</w:t>
      </w:r>
      <w:r w:rsidRPr="0037081E">
        <w:rPr>
          <w:rFonts w:ascii="Times New Roman" w:hAnsi="Times New Roman" w:cs="Times New Roman"/>
          <w:sz w:val="24"/>
          <w:szCs w:val="24"/>
        </w:rPr>
        <w:t xml:space="preserve">, co wynika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z prognozy kwoty długu</w:t>
      </w:r>
      <w:r w:rsidR="00752BB3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na okres zaciągniętych i planowanych do zaciągnięcia zobowiązań.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Przy opracowaniu WPF oparto się na założeniach przyjętych przez Radę Ministrów dotyczących rozwoju </w:t>
      </w:r>
      <w:r w:rsidR="00752BB3">
        <w:rPr>
          <w:rFonts w:ascii="Times New Roman" w:hAnsi="Times New Roman" w:cs="Times New Roman"/>
          <w:sz w:val="24"/>
          <w:szCs w:val="24"/>
        </w:rPr>
        <w:t>g</w:t>
      </w:r>
      <w:r w:rsidRPr="0037081E">
        <w:rPr>
          <w:rFonts w:ascii="Times New Roman" w:hAnsi="Times New Roman" w:cs="Times New Roman"/>
          <w:sz w:val="24"/>
          <w:szCs w:val="24"/>
        </w:rPr>
        <w:t>ospodarczego Polski stanowiących podstawę do opracowania „Wieloletniego Planu Finansowego Państwa” oraz na Wytycznych Ministra Finansów :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Przyjmując założenia do opracowania WPF oparto się również na danych historycznych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w zakresie poszczególnych źródeł dochodów i kategorii wydatków, przyjmując za punkt odniesienia wartości faktyczne </w:t>
      </w:r>
      <w:r w:rsidR="00864DA4">
        <w:rPr>
          <w:rFonts w:ascii="Times New Roman" w:hAnsi="Times New Roman" w:cs="Times New Roman"/>
          <w:sz w:val="24"/>
          <w:szCs w:val="24"/>
        </w:rPr>
        <w:t>w</w:t>
      </w:r>
      <w:r w:rsidR="00DB0F28">
        <w:rPr>
          <w:rFonts w:ascii="Times New Roman" w:hAnsi="Times New Roman" w:cs="Times New Roman"/>
          <w:sz w:val="24"/>
          <w:szCs w:val="24"/>
        </w:rPr>
        <w:t>ykonane w latach 201</w:t>
      </w:r>
      <w:r w:rsidR="008B0978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415338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201</w:t>
      </w:r>
      <w:r w:rsidR="008B0978">
        <w:rPr>
          <w:rFonts w:ascii="Times New Roman" w:hAnsi="Times New Roman" w:cs="Times New Roman"/>
          <w:sz w:val="24"/>
          <w:szCs w:val="24"/>
        </w:rPr>
        <w:t>5</w:t>
      </w:r>
      <w:r w:rsidRPr="0037081E">
        <w:rPr>
          <w:rFonts w:ascii="Times New Roman" w:hAnsi="Times New Roman" w:cs="Times New Roman"/>
          <w:sz w:val="24"/>
          <w:szCs w:val="24"/>
        </w:rPr>
        <w:t xml:space="preserve"> oraz plan budżetu na rok 201</w:t>
      </w:r>
      <w:r w:rsidR="00896697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wg stanu na dzień 30 września 201</w:t>
      </w:r>
      <w:r w:rsidR="00DB0F28">
        <w:rPr>
          <w:rFonts w:ascii="Times New Roman" w:hAnsi="Times New Roman" w:cs="Times New Roman"/>
          <w:sz w:val="24"/>
          <w:szCs w:val="24"/>
        </w:rPr>
        <w:t>5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oraz przewidywane wykonanie budżetu za 201</w:t>
      </w:r>
      <w:r w:rsidR="00896697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 (według załącznika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Nr 1 do WPF).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Dochody i wydatki, przychody i rozchody na 201</w:t>
      </w:r>
      <w:r w:rsidR="00E111C0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 przyjęto w wartościach zgodnych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z projektem uchwały budżetowej na ten rok.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II. PROGNOZOWANE DOCHODY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Planowanie dochodów Gminy na okres objęty Prognozą rozpoczęto od analizy dotychczasowych trendów zmian dochodów w ostatnich trzech latach. Następnie skoncentrowano się na źródłach, które generują największe wpływy.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</w:rPr>
      </w:pPr>
      <w:r w:rsidRPr="0037081E">
        <w:rPr>
          <w:rFonts w:ascii="Times New Roman" w:hAnsi="Times New Roman" w:cs="Times New Roman"/>
          <w:sz w:val="24"/>
          <w:szCs w:val="24"/>
        </w:rPr>
        <w:t>W budżecie na 201</w:t>
      </w:r>
      <w:r w:rsidR="002074DE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 przyjęto: podane przez Ministra Finansów planowane kwoty poszczególnych części subwencji ogólnej oraz planowane kwoty dochodów z tytułu udziału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we wpływach z podatku dochodowego od osób fizycznych, oszacowane wpływy z udziałów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w podatku od osób prawnych, ustalone przez Wojewodę Mazowieckiego kwoty dotacji na zadania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z zakresu administracji rządowej oraz dotacji na realizację zadań własnych i dochodów związanych z realizacją zadań z zakresu administracji rządowej</w:t>
      </w:r>
      <w:r w:rsidR="00DB0F28">
        <w:rPr>
          <w:rFonts w:ascii="Times New Roman" w:hAnsi="Times New Roman" w:cs="Times New Roman"/>
          <w:sz w:val="24"/>
          <w:szCs w:val="24"/>
        </w:rPr>
        <w:t>. S</w:t>
      </w:r>
      <w:r w:rsidRPr="0037081E">
        <w:rPr>
          <w:rFonts w:ascii="Times New Roman" w:hAnsi="Times New Roman" w:cs="Times New Roman"/>
          <w:sz w:val="24"/>
          <w:szCs w:val="24"/>
        </w:rPr>
        <w:t xml:space="preserve">zacunkowo </w:t>
      </w:r>
      <w:r w:rsidR="00DB0F28">
        <w:rPr>
          <w:rFonts w:ascii="Times New Roman" w:hAnsi="Times New Roman" w:cs="Times New Roman"/>
          <w:sz w:val="24"/>
          <w:szCs w:val="24"/>
        </w:rPr>
        <w:t>przyjęto</w:t>
      </w:r>
      <w:r w:rsidRPr="0037081E">
        <w:rPr>
          <w:rFonts w:ascii="Times New Roman" w:hAnsi="Times New Roman" w:cs="Times New Roman"/>
          <w:sz w:val="24"/>
          <w:szCs w:val="24"/>
        </w:rPr>
        <w:t xml:space="preserve"> kwoty dochodów własnych ze sprzedaży majątku, opłat wynikających z ustaw, odpłatności za realizowane usługi </w:t>
      </w:r>
      <w:r w:rsidR="00D15394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oraz</w:t>
      </w:r>
      <w:r w:rsidRPr="0037081E">
        <w:rPr>
          <w:rFonts w:ascii="Times New Roman" w:hAnsi="Times New Roman" w:cs="Times New Roman"/>
        </w:rPr>
        <w:t xml:space="preserve"> wpływów z różnych dochodów.</w:t>
      </w:r>
    </w:p>
    <w:p w:rsidR="0037081E" w:rsidRPr="005317E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7081E" w:rsidRPr="008B0978" w:rsidRDefault="0037081E" w:rsidP="008B0978">
      <w:pPr>
        <w:pStyle w:val="Akapitzlist"/>
        <w:widowControl w:val="0"/>
        <w:numPr>
          <w:ilvl w:val="0"/>
          <w:numId w:val="6"/>
        </w:numPr>
        <w:tabs>
          <w:tab w:val="left" w:pos="357"/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 w:rsidRPr="008B0978">
        <w:rPr>
          <w:rFonts w:ascii="Times New Roman" w:hAnsi="Times New Roman" w:cs="Times New Roman"/>
          <w:b/>
          <w:bCs/>
          <w:sz w:val="28"/>
          <w:szCs w:val="28"/>
        </w:rPr>
        <w:t>Dochody bieżące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okresie objętym prognozą, wobec spowolnienia gospodarczego na świecie i w Europie, trudno wyrokować szczególnie wysokie wzrosty w dochodach bieżących.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Przyjęto zatem, bezpiecznie, że będą one rosły, średnio między 0 % - 1 %, w roku 201</w:t>
      </w:r>
      <w:r w:rsidR="002074DE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i w latach </w:t>
      </w:r>
      <w:r w:rsidR="00D15394">
        <w:rPr>
          <w:rFonts w:ascii="Times New Roman" w:hAnsi="Times New Roman" w:cs="Times New Roman"/>
          <w:sz w:val="24"/>
          <w:szCs w:val="24"/>
        </w:rPr>
        <w:lastRenderedPageBreak/>
        <w:t>n</w:t>
      </w:r>
      <w:r w:rsidRPr="0037081E">
        <w:rPr>
          <w:rFonts w:ascii="Times New Roman" w:hAnsi="Times New Roman" w:cs="Times New Roman"/>
          <w:sz w:val="24"/>
          <w:szCs w:val="24"/>
        </w:rPr>
        <w:t xml:space="preserve">astępnych. Analiza udziału poszczególnych źródeł dochodów bieżących w dochodach bieżących ogółem w ciągu ostatnich trzech lat potwierdza istnienie prawidłowości polegającej na tym,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że największy wpływ na poziom tych dochodów mają: część oświatowa subwencji ogólnej, dotacje celowe, podatek i udziały we wpływach z podatku dochodowego od osób fizycznych i prawnych.</w:t>
      </w:r>
    </w:p>
    <w:p w:rsidR="005317EE" w:rsidRPr="005317EE" w:rsidRDefault="005317E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Subwencja ogólna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Planowaną na 201</w:t>
      </w:r>
      <w:r w:rsidR="00195640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</w:t>
      </w:r>
      <w:r w:rsidR="008E1D3B">
        <w:rPr>
          <w:rFonts w:ascii="Times New Roman" w:hAnsi="Times New Roman" w:cs="Times New Roman"/>
          <w:sz w:val="24"/>
          <w:szCs w:val="24"/>
        </w:rPr>
        <w:t>.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 subwencję ogólną </w:t>
      </w:r>
      <w:r w:rsidRPr="0037081E">
        <w:rPr>
          <w:rFonts w:ascii="Times New Roman" w:hAnsi="Times New Roman" w:cs="Times New Roman"/>
          <w:sz w:val="24"/>
          <w:szCs w:val="24"/>
        </w:rPr>
        <w:t xml:space="preserve">przyjęto w wysokości podanej  </w:t>
      </w:r>
      <w:r w:rsidR="0076243A">
        <w:rPr>
          <w:rFonts w:ascii="Times New Roman" w:hAnsi="Times New Roman" w:cs="Times New Roman"/>
          <w:sz w:val="24"/>
          <w:szCs w:val="24"/>
        </w:rPr>
        <w:t xml:space="preserve">przez Ministra </w:t>
      </w:r>
      <w:r w:rsidR="002074DE">
        <w:rPr>
          <w:rFonts w:ascii="Times New Roman" w:hAnsi="Times New Roman" w:cs="Times New Roman"/>
          <w:sz w:val="24"/>
          <w:szCs w:val="24"/>
        </w:rPr>
        <w:t>F</w:t>
      </w:r>
      <w:r w:rsidR="0076243A">
        <w:rPr>
          <w:rFonts w:ascii="Times New Roman" w:hAnsi="Times New Roman" w:cs="Times New Roman"/>
          <w:sz w:val="24"/>
          <w:szCs w:val="24"/>
        </w:rPr>
        <w:t xml:space="preserve">inansów pismem </w:t>
      </w:r>
      <w:r w:rsidRPr="0037081E">
        <w:rPr>
          <w:rFonts w:ascii="Times New Roman" w:hAnsi="Times New Roman" w:cs="Times New Roman"/>
          <w:sz w:val="24"/>
          <w:szCs w:val="24"/>
        </w:rPr>
        <w:t>nr : ST3</w:t>
      </w:r>
      <w:r w:rsidR="002074DE">
        <w:rPr>
          <w:rFonts w:ascii="Times New Roman" w:hAnsi="Times New Roman" w:cs="Times New Roman"/>
          <w:sz w:val="24"/>
          <w:szCs w:val="24"/>
        </w:rPr>
        <w:t>.</w:t>
      </w:r>
      <w:r w:rsidRPr="0037081E">
        <w:rPr>
          <w:rFonts w:ascii="Times New Roman" w:hAnsi="Times New Roman" w:cs="Times New Roman"/>
          <w:sz w:val="24"/>
          <w:szCs w:val="24"/>
        </w:rPr>
        <w:t>4</w:t>
      </w:r>
      <w:r w:rsidR="00D15394">
        <w:rPr>
          <w:rFonts w:ascii="Times New Roman" w:hAnsi="Times New Roman" w:cs="Times New Roman"/>
          <w:sz w:val="24"/>
          <w:szCs w:val="24"/>
        </w:rPr>
        <w:t>750.</w:t>
      </w:r>
      <w:r w:rsidR="002074DE">
        <w:rPr>
          <w:rFonts w:ascii="Times New Roman" w:hAnsi="Times New Roman" w:cs="Times New Roman"/>
          <w:sz w:val="24"/>
          <w:szCs w:val="24"/>
        </w:rPr>
        <w:t>3</w:t>
      </w:r>
      <w:r w:rsidR="00D15394">
        <w:rPr>
          <w:rFonts w:ascii="Times New Roman" w:hAnsi="Times New Roman" w:cs="Times New Roman"/>
          <w:sz w:val="24"/>
          <w:szCs w:val="24"/>
        </w:rPr>
        <w:t>1.201</w:t>
      </w:r>
      <w:r w:rsidR="002074DE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z dnia 1</w:t>
      </w:r>
      <w:r w:rsidR="002074DE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> października 201</w:t>
      </w:r>
      <w:r w:rsidR="002074DE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W kolejnych latach 201</w:t>
      </w:r>
      <w:r w:rsidR="00D15394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415338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2074DE">
        <w:rPr>
          <w:rFonts w:ascii="Times New Roman" w:hAnsi="Times New Roman" w:cs="Times New Roman"/>
          <w:sz w:val="24"/>
          <w:szCs w:val="24"/>
        </w:rPr>
        <w:t>22</w:t>
      </w:r>
      <w:r w:rsidRPr="0037081E">
        <w:rPr>
          <w:rFonts w:ascii="Times New Roman" w:hAnsi="Times New Roman" w:cs="Times New Roman"/>
          <w:sz w:val="24"/>
          <w:szCs w:val="24"/>
        </w:rPr>
        <w:t xml:space="preserve"> dochody w tej grupie oszacowano w oparciu o planowane wpływy w 201</w:t>
      </w:r>
      <w:r w:rsidR="002074DE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i obowiązujące przepisy, które gwarantują utrzymanie co</w:t>
      </w:r>
      <w:r w:rsidR="0076243A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 xml:space="preserve">najmniej nominalnego poziomu subwencji oświatowej </w:t>
      </w:r>
      <w:r w:rsidR="0041533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w skali kraju. </w:t>
      </w:r>
    </w:p>
    <w:p w:rsidR="0037081E" w:rsidRPr="005317E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Podatki i opłaty lokalne </w:t>
      </w:r>
    </w:p>
    <w:p w:rsid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Bazą wyjściową do ustalenia wpływów z podatków i opłat lokalnych są wpływy z tych dochodów w latach poprzednich. Dochody z podatków i opłat lokalnych zdominowane są przez podatek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od nieruchomości. W 201</w:t>
      </w:r>
      <w:r w:rsidR="002074DE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podatki i opłaty lokalne w stosunku do roku poprzedniego </w:t>
      </w:r>
      <w:r w:rsidR="002074DE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nie wykazują znacznego wzrostu, gdyż Rada Gminy </w:t>
      </w:r>
      <w:r w:rsidR="00D15394">
        <w:rPr>
          <w:rFonts w:ascii="Times New Roman" w:hAnsi="Times New Roman" w:cs="Times New Roman"/>
          <w:sz w:val="24"/>
          <w:szCs w:val="24"/>
        </w:rPr>
        <w:t xml:space="preserve">planuje </w:t>
      </w:r>
      <w:r w:rsidRPr="0037081E">
        <w:rPr>
          <w:rFonts w:ascii="Times New Roman" w:hAnsi="Times New Roman" w:cs="Times New Roman"/>
          <w:sz w:val="24"/>
          <w:szCs w:val="24"/>
        </w:rPr>
        <w:t>pozostawi</w:t>
      </w:r>
      <w:r w:rsidR="00D15394">
        <w:rPr>
          <w:rFonts w:ascii="Times New Roman" w:hAnsi="Times New Roman" w:cs="Times New Roman"/>
          <w:sz w:val="24"/>
          <w:szCs w:val="24"/>
        </w:rPr>
        <w:t>ć</w:t>
      </w:r>
      <w:r w:rsidRPr="0037081E">
        <w:rPr>
          <w:rFonts w:ascii="Times New Roman" w:hAnsi="Times New Roman" w:cs="Times New Roman"/>
          <w:sz w:val="24"/>
          <w:szCs w:val="24"/>
        </w:rPr>
        <w:t xml:space="preserve"> na poziomie roku 201</w:t>
      </w:r>
      <w:r w:rsidR="002074DE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>.</w:t>
      </w:r>
    </w:p>
    <w:p w:rsidR="00D15394" w:rsidRPr="005317EE" w:rsidRDefault="00D15394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Udziały we wpływach z podatków dochodowych od osób fizycznych i prawnych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Calibri" w:hAnsi="Calibri" w:cs="Calibri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Dochody z tytułu udziałów w podatku dochodowym od osób fizycznych (PIT) oraz od osób prawnych (CIT) należą do najbardziej wrażliwych na zmiany w koniunkturze gospodarczej. Ministerstwo Finansów zaleca aby poziom dochodów z tytułu udziałów we wpływach z podatków prognozować w oparciu o wybrane wielkości makroekonomiczne podawane przez Radę Ministrów, takich jak: PKB, ceny towarów i usług, przeciętne wynagrodzenie, dostosowując je do sytuacji </w:t>
      </w:r>
      <w:r w:rsidR="002074DE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w gminie.  Wpływy z tytułu udziału z podatku  dochodowym od osób fizycznych przyjęto na rok 201</w:t>
      </w:r>
      <w:r w:rsidR="002074DE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w wysokości podanej przez Mini</w:t>
      </w:r>
      <w:r w:rsidR="0076243A">
        <w:rPr>
          <w:rFonts w:ascii="Times New Roman" w:hAnsi="Times New Roman" w:cs="Times New Roman"/>
          <w:sz w:val="24"/>
          <w:szCs w:val="24"/>
        </w:rPr>
        <w:t>stra Finansów, pismem  z dnia 1</w:t>
      </w:r>
      <w:r w:rsidR="002074DE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 xml:space="preserve"> października 201</w:t>
      </w:r>
      <w:r w:rsidR="002074DE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</w:t>
      </w:r>
      <w:r w:rsidR="0076243A">
        <w:rPr>
          <w:rFonts w:ascii="Times New Roman" w:hAnsi="Times New Roman" w:cs="Times New Roman"/>
          <w:sz w:val="24"/>
          <w:szCs w:val="24"/>
        </w:rPr>
        <w:t xml:space="preserve"> </w:t>
      </w:r>
      <w:r w:rsidR="002074DE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W latach następnych prognozuje się wzr</w:t>
      </w:r>
      <w:r w:rsidR="00663F4F">
        <w:rPr>
          <w:rFonts w:ascii="Times New Roman" w:hAnsi="Times New Roman" w:cs="Times New Roman"/>
          <w:sz w:val="24"/>
          <w:szCs w:val="24"/>
        </w:rPr>
        <w:t>ost dochodów z tego tytułu o 1 -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2 %. Dochody z tytułu udziału we wpływach z podatku od osób prawnych zostały zaplanowane w oparciu o przewidywane wykonanie za 201</w:t>
      </w:r>
      <w:r w:rsidR="002074DE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rok. </w:t>
      </w:r>
    </w:p>
    <w:p w:rsidR="005F2808" w:rsidRPr="005317EE" w:rsidRDefault="005F2808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Dotacje celowe z budżetu państwa</w:t>
      </w:r>
      <w:r w:rsidR="0018270E">
        <w:rPr>
          <w:rFonts w:ascii="Times New Roman" w:hAnsi="Times New Roman" w:cs="Times New Roman"/>
          <w:b/>
          <w:bCs/>
          <w:sz w:val="24"/>
          <w:szCs w:val="24"/>
        </w:rPr>
        <w:t xml:space="preserve">, dotacje </w:t>
      </w:r>
      <w:r w:rsidR="002074DE">
        <w:rPr>
          <w:rFonts w:ascii="Times New Roman" w:hAnsi="Times New Roman" w:cs="Times New Roman"/>
          <w:b/>
          <w:bCs/>
          <w:sz w:val="24"/>
          <w:szCs w:val="24"/>
        </w:rPr>
        <w:t>inne celowe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Na rok 201</w:t>
      </w:r>
      <w:r w:rsidR="005317EE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 kwotę 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>dotacji na zadania z zakresu administracji rządowej i dochodów związanych z realizacją zadań z zakresu administracji rządowej</w:t>
      </w:r>
      <w:r w:rsidRPr="0037081E">
        <w:rPr>
          <w:rFonts w:ascii="Times New Roman" w:hAnsi="Times New Roman" w:cs="Times New Roman"/>
          <w:sz w:val="24"/>
          <w:szCs w:val="24"/>
        </w:rPr>
        <w:t xml:space="preserve"> przyjęto w wysokości zgodnej z informacją Wojewody Mazowieckiego z dnia 2</w:t>
      </w:r>
      <w:r w:rsidR="005317EE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 xml:space="preserve"> października 201</w:t>
      </w:r>
      <w:r w:rsidR="005317EE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5317EE" w:rsidRPr="005317EE" w:rsidRDefault="005317E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Dotacje na zadania własne </w:t>
      </w:r>
      <w:r w:rsidRPr="0037081E">
        <w:rPr>
          <w:rFonts w:ascii="Times New Roman" w:hAnsi="Times New Roman" w:cs="Times New Roman"/>
          <w:sz w:val="24"/>
          <w:szCs w:val="24"/>
        </w:rPr>
        <w:t>na rok 201</w:t>
      </w:r>
      <w:r w:rsidR="005317EE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przyjęto w wysokości ustalonej przez Wojewodę Mazowieckiego, pismem  z dnia 2</w:t>
      </w:r>
      <w:r w:rsidR="004D79BA">
        <w:rPr>
          <w:rFonts w:ascii="Times New Roman" w:hAnsi="Times New Roman" w:cs="Times New Roman"/>
          <w:sz w:val="24"/>
          <w:szCs w:val="24"/>
        </w:rPr>
        <w:t>4</w:t>
      </w:r>
      <w:r w:rsidR="0076243A">
        <w:rPr>
          <w:rFonts w:ascii="Times New Roman" w:hAnsi="Times New Roman" w:cs="Times New Roman"/>
          <w:sz w:val="24"/>
          <w:szCs w:val="24"/>
        </w:rPr>
        <w:t xml:space="preserve"> października 201</w:t>
      </w:r>
      <w:r w:rsidR="004D79BA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37081E" w:rsidRPr="008B0978" w:rsidRDefault="0037081E" w:rsidP="004D79BA">
      <w:pPr>
        <w:pStyle w:val="Akapitzlist"/>
        <w:widowControl w:val="0"/>
        <w:tabs>
          <w:tab w:val="left" w:pos="357"/>
          <w:tab w:val="left" w:pos="426"/>
          <w:tab w:val="left" w:pos="851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autoSpaceDE w:val="0"/>
        <w:autoSpaceDN w:val="0"/>
        <w:adjustRightInd w:val="0"/>
        <w:spacing w:after="0" w:line="360" w:lineRule="auto"/>
        <w:ind w:left="1494" w:right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0978">
        <w:rPr>
          <w:rFonts w:ascii="Times New Roman" w:hAnsi="Times New Roman" w:cs="Times New Roman"/>
          <w:b/>
          <w:bCs/>
          <w:sz w:val="28"/>
          <w:szCs w:val="28"/>
        </w:rPr>
        <w:lastRenderedPageBreak/>
        <w:t>Dochody majątkowe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ramach tej grupy dochodów w roku 201</w:t>
      </w:r>
      <w:r w:rsidR="00896697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zaplanowane zostały dochody ze sprzedaży majątku w kwocie 1</w:t>
      </w:r>
      <w:r w:rsidR="00896697">
        <w:rPr>
          <w:rFonts w:ascii="Times New Roman" w:hAnsi="Times New Roman" w:cs="Times New Roman"/>
          <w:sz w:val="24"/>
          <w:szCs w:val="24"/>
        </w:rPr>
        <w:t>0</w:t>
      </w:r>
      <w:r w:rsidRPr="0037081E">
        <w:rPr>
          <w:rFonts w:ascii="Times New Roman" w:hAnsi="Times New Roman" w:cs="Times New Roman"/>
          <w:sz w:val="24"/>
          <w:szCs w:val="24"/>
        </w:rPr>
        <w:t>0 000,00 zł.</w:t>
      </w:r>
    </w:p>
    <w:p w:rsidR="0037081E" w:rsidRPr="005317EE" w:rsidRDefault="0037081E" w:rsidP="008B0978">
      <w:pPr>
        <w:widowControl w:val="0"/>
        <w:tabs>
          <w:tab w:val="left" w:pos="10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4D79BA" w:rsidP="004D79BA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7081E" w:rsidRPr="0037081E">
        <w:rPr>
          <w:rFonts w:ascii="Times New Roman" w:hAnsi="Times New Roman" w:cs="Times New Roman"/>
          <w:b/>
          <w:bCs/>
          <w:sz w:val="24"/>
          <w:szCs w:val="24"/>
        </w:rPr>
        <w:t>Wpływy ze sprzedaży majątku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Dochody ze sprzedaży majątku są determinowane koniunkturą w gospodarce, w tym przede wszystkim na rynku nieruchomości. Obniżone tempo wzrostu gospodarczego w ostatnich latach negatywnie wpłynęło na sytuację na lokalnym rynku nieruchomości, co przedkłada się negatywnie na wielkość dochodów z tego tytułu. Dokonano oceny posiadanego  przez Gminę mienia komunalnego przeznaczonego na sprzedaż. W 201</w:t>
      </w:r>
      <w:r w:rsidR="004D79BA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Gmina Radziejowice nadal będzie </w:t>
      </w:r>
      <w:r w:rsidR="004D79BA">
        <w:rPr>
          <w:rFonts w:ascii="Times New Roman" w:hAnsi="Times New Roman" w:cs="Times New Roman"/>
          <w:sz w:val="24"/>
          <w:szCs w:val="24"/>
        </w:rPr>
        <w:t>p</w:t>
      </w:r>
      <w:r w:rsidRPr="0037081E">
        <w:rPr>
          <w:rFonts w:ascii="Times New Roman" w:hAnsi="Times New Roman" w:cs="Times New Roman"/>
          <w:sz w:val="24"/>
          <w:szCs w:val="24"/>
        </w:rPr>
        <w:t xml:space="preserve">rowadziła działania w zakresie racjonalnego wykorzystania majątku w celu uzyskania jak najlepszych efektów ekonomicznych. </w:t>
      </w:r>
    </w:p>
    <w:p w:rsidR="0037081E" w:rsidRPr="005317E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7081E" w:rsidRPr="0037081E" w:rsidRDefault="0037081E" w:rsidP="008900C4">
      <w:pPr>
        <w:widowControl w:val="0"/>
        <w:numPr>
          <w:ilvl w:val="0"/>
          <w:numId w:val="2"/>
        </w:num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567" w:right="1134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PROGNOZOWANE  WYDATKI</w:t>
      </w:r>
    </w:p>
    <w:p w:rsidR="0037081E" w:rsidRPr="0037081E" w:rsidRDefault="004D79BA" w:rsidP="004D79BA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081E" w:rsidRPr="0037081E">
        <w:rPr>
          <w:rFonts w:ascii="Times New Roman" w:hAnsi="Times New Roman" w:cs="Times New Roman"/>
          <w:sz w:val="24"/>
          <w:szCs w:val="24"/>
        </w:rPr>
        <w:t>Prognoza wydatków oparta została o przewidywane wydatkowanie 201</w:t>
      </w:r>
      <w:r>
        <w:rPr>
          <w:rFonts w:ascii="Times New Roman" w:hAnsi="Times New Roman" w:cs="Times New Roman"/>
          <w:sz w:val="24"/>
          <w:szCs w:val="24"/>
        </w:rPr>
        <w:t>6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 roku.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Wydatki kalkulowano przy uwzględnieniu możliwości dochodowych, jednak z uwzględnieniem analizy zadań bieżących koniecznych do realizacji oraz obligatoryjności wynikającej z przepisów obowiązującego prawa.  </w:t>
      </w:r>
    </w:p>
    <w:p w:rsidR="0037081E" w:rsidRPr="0037081E" w:rsidRDefault="0037081E" w:rsidP="008B0978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Prognozę oparto na założeniu określonym w art. 242, ust.2  ustawy o finansach publicznych, polegającym</w:t>
      </w:r>
      <w:r w:rsidR="000E5F51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na zachowaniu relacji, iż planowane wydatki bieżące nie mogą przewyższać dochodów bieżących. W</w:t>
      </w:r>
      <w:r w:rsidR="000E5F51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związku</w:t>
      </w:r>
      <w:r w:rsidR="000E5F51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z powyższym w latach 201</w:t>
      </w:r>
      <w:r w:rsidR="004D79BA">
        <w:rPr>
          <w:rFonts w:ascii="Times New Roman" w:hAnsi="Times New Roman" w:cs="Times New Roman"/>
          <w:sz w:val="24"/>
          <w:szCs w:val="24"/>
        </w:rPr>
        <w:t>7</w:t>
      </w:r>
      <w:r w:rsidR="00CC6723">
        <w:rPr>
          <w:rFonts w:ascii="Times New Roman" w:hAnsi="Times New Roman" w:cs="Times New Roman"/>
          <w:sz w:val="24"/>
          <w:szCs w:val="24"/>
        </w:rPr>
        <w:t xml:space="preserve"> 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4D79BA">
        <w:rPr>
          <w:rFonts w:ascii="Times New Roman" w:hAnsi="Times New Roman" w:cs="Times New Roman"/>
          <w:sz w:val="24"/>
          <w:szCs w:val="24"/>
        </w:rPr>
        <w:t>22</w:t>
      </w:r>
      <w:r w:rsidRPr="0037081E">
        <w:rPr>
          <w:rFonts w:ascii="Times New Roman" w:hAnsi="Times New Roman" w:cs="Times New Roman"/>
          <w:sz w:val="24"/>
          <w:szCs w:val="24"/>
        </w:rPr>
        <w:t xml:space="preserve"> założono ograniczenie fakultatywnych wydatków bieżących w celu wypracowania jak największej nadwyżki operacyjnej przeznaczonej </w:t>
      </w:r>
      <w:r w:rsidR="000E5F51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na zadania inwestycyjne.</w:t>
      </w:r>
    </w:p>
    <w:p w:rsidR="004D79BA" w:rsidRDefault="0037081E" w:rsidP="004D79BA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771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Na 201</w:t>
      </w:r>
      <w:r w:rsidR="004D79BA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</w:t>
      </w:r>
      <w:r w:rsidR="00864DA4">
        <w:rPr>
          <w:rFonts w:ascii="Times New Roman" w:hAnsi="Times New Roman" w:cs="Times New Roman"/>
          <w:sz w:val="24"/>
          <w:szCs w:val="24"/>
        </w:rPr>
        <w:t>.</w:t>
      </w:r>
      <w:r w:rsidRPr="0037081E">
        <w:rPr>
          <w:rFonts w:ascii="Times New Roman" w:hAnsi="Times New Roman" w:cs="Times New Roman"/>
          <w:sz w:val="24"/>
          <w:szCs w:val="24"/>
        </w:rPr>
        <w:t xml:space="preserve"> wydatki ogółem zaplanowano w kwocie </w:t>
      </w:r>
      <w:r w:rsidR="004D79BA" w:rsidRPr="004D79BA">
        <w:rPr>
          <w:rFonts w:ascii="Times New Roman" w:hAnsi="Times New Roman" w:cs="Times New Roman"/>
          <w:sz w:val="24"/>
          <w:szCs w:val="24"/>
        </w:rPr>
        <w:t>31</w:t>
      </w:r>
      <w:r w:rsidR="004D79BA">
        <w:rPr>
          <w:rFonts w:ascii="Times New Roman" w:hAnsi="Times New Roman" w:cs="Times New Roman"/>
          <w:sz w:val="24"/>
          <w:szCs w:val="24"/>
        </w:rPr>
        <w:t> </w:t>
      </w:r>
      <w:r w:rsidR="00C30128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4D79BA" w:rsidRPr="004D79BA">
        <w:rPr>
          <w:rFonts w:ascii="Times New Roman" w:hAnsi="Times New Roman" w:cs="Times New Roman"/>
          <w:sz w:val="24"/>
          <w:szCs w:val="24"/>
        </w:rPr>
        <w:t>43</w:t>
      </w:r>
      <w:r w:rsidR="004D79BA">
        <w:rPr>
          <w:rFonts w:ascii="Times New Roman" w:hAnsi="Times New Roman" w:cs="Times New Roman"/>
          <w:sz w:val="24"/>
          <w:szCs w:val="24"/>
        </w:rPr>
        <w:t> </w:t>
      </w:r>
      <w:r w:rsidR="004D79BA" w:rsidRPr="004D79BA">
        <w:rPr>
          <w:rFonts w:ascii="Times New Roman" w:hAnsi="Times New Roman" w:cs="Times New Roman"/>
          <w:sz w:val="24"/>
          <w:szCs w:val="24"/>
        </w:rPr>
        <w:t>046</w:t>
      </w:r>
      <w:r w:rsidR="004D79BA">
        <w:rPr>
          <w:rFonts w:ascii="Times New Roman" w:hAnsi="Times New Roman" w:cs="Times New Roman"/>
          <w:sz w:val="24"/>
          <w:szCs w:val="24"/>
        </w:rPr>
        <w:t xml:space="preserve">,00 zł, </w:t>
      </w:r>
      <w:r w:rsidRPr="0037081E">
        <w:rPr>
          <w:rFonts w:ascii="Times New Roman" w:hAnsi="Times New Roman" w:cs="Times New Roman"/>
          <w:sz w:val="24"/>
          <w:szCs w:val="24"/>
        </w:rPr>
        <w:t xml:space="preserve">w tym na </w:t>
      </w:r>
      <w:r w:rsidR="004D79BA">
        <w:rPr>
          <w:rFonts w:ascii="Times New Roman" w:hAnsi="Times New Roman" w:cs="Times New Roman"/>
          <w:sz w:val="24"/>
          <w:szCs w:val="24"/>
        </w:rPr>
        <w:t xml:space="preserve">wydatki </w:t>
      </w:r>
      <w:r w:rsidRPr="0037081E">
        <w:rPr>
          <w:rFonts w:ascii="Times New Roman" w:hAnsi="Times New Roman" w:cs="Times New Roman"/>
          <w:sz w:val="24"/>
          <w:szCs w:val="24"/>
        </w:rPr>
        <w:t xml:space="preserve">bieżące </w:t>
      </w:r>
    </w:p>
    <w:p w:rsidR="0037081E" w:rsidRPr="0037081E" w:rsidRDefault="004D79BA" w:rsidP="004D79BA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771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4D79BA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 </w:t>
      </w:r>
      <w:r w:rsidR="00453140">
        <w:rPr>
          <w:rFonts w:ascii="Times New Roman" w:hAnsi="Times New Roman" w:cs="Times New Roman"/>
          <w:sz w:val="24"/>
          <w:szCs w:val="24"/>
        </w:rPr>
        <w:t>1</w:t>
      </w:r>
      <w:r w:rsidRPr="004D79BA">
        <w:rPr>
          <w:rFonts w:ascii="Times New Roman" w:hAnsi="Times New Roman" w:cs="Times New Roman"/>
          <w:sz w:val="24"/>
          <w:szCs w:val="24"/>
        </w:rPr>
        <w:t>41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9BA">
        <w:rPr>
          <w:rFonts w:ascii="Times New Roman" w:hAnsi="Times New Roman" w:cs="Times New Roman"/>
          <w:sz w:val="24"/>
          <w:szCs w:val="24"/>
        </w:rPr>
        <w:t>223,69</w:t>
      </w:r>
      <w:r>
        <w:rPr>
          <w:rFonts w:ascii="Times New Roman" w:hAnsi="Times New Roman" w:cs="Times New Roman"/>
          <w:sz w:val="24"/>
          <w:szCs w:val="24"/>
        </w:rPr>
        <w:t xml:space="preserve"> zł 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na wydatki 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majątkowe </w:t>
      </w:r>
      <w:r w:rsidRPr="004D79B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D79BA">
        <w:rPr>
          <w:rFonts w:ascii="Times New Roman" w:hAnsi="Times New Roman" w:cs="Times New Roman"/>
          <w:sz w:val="24"/>
          <w:szCs w:val="24"/>
        </w:rPr>
        <w:t>701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9BA">
        <w:rPr>
          <w:rFonts w:ascii="Times New Roman" w:hAnsi="Times New Roman" w:cs="Times New Roman"/>
          <w:sz w:val="24"/>
          <w:szCs w:val="24"/>
        </w:rPr>
        <w:t>822,31</w:t>
      </w:r>
      <w:r w:rsidR="00D57DA2">
        <w:rPr>
          <w:rFonts w:ascii="Times New Roman" w:hAnsi="Times New Roman" w:cs="Times New Roman"/>
          <w:sz w:val="24"/>
          <w:szCs w:val="24"/>
        </w:rPr>
        <w:t xml:space="preserve"> </w:t>
      </w:r>
      <w:r w:rsidR="0037081E" w:rsidRPr="0037081E">
        <w:rPr>
          <w:rFonts w:ascii="Times New Roman" w:hAnsi="Times New Roman" w:cs="Times New Roman"/>
          <w:sz w:val="24"/>
          <w:szCs w:val="24"/>
        </w:rPr>
        <w:t>zł.</w:t>
      </w:r>
    </w:p>
    <w:p w:rsidR="0037081E" w:rsidRPr="005317E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7081E" w:rsidRPr="0037081E" w:rsidRDefault="0037081E" w:rsidP="008B0978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Wydatki 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>na wynagrodzenia i pochodne od nich naliczane</w:t>
      </w:r>
      <w:r w:rsidRPr="0037081E">
        <w:rPr>
          <w:rFonts w:ascii="Times New Roman" w:hAnsi="Times New Roman" w:cs="Times New Roman"/>
          <w:sz w:val="24"/>
          <w:szCs w:val="24"/>
        </w:rPr>
        <w:t xml:space="preserve"> ustalono na poziomie zawartych umów o pracę na koniec 201</w:t>
      </w:r>
      <w:r w:rsidR="008900C4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i należne w 201</w:t>
      </w:r>
      <w:r w:rsidR="008900C4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nagrody jubileuszowe i odprawy emerytalne. </w:t>
      </w:r>
    </w:p>
    <w:p w:rsidR="002E4157" w:rsidRPr="005317EE" w:rsidRDefault="002E4157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Zakup towarów i usług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(gaz, centralne ogrzewanie, energia elektryczna, woda i kanalizacja) </w:t>
      </w:r>
      <w:r w:rsidR="00864DA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na poziomie przewidywanego wykonania za 201</w:t>
      </w:r>
      <w:r w:rsidR="008900C4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oraz na wydatki rzeczowe na podstawie zweryfikowanych kalkulacji wydatków zaproponowanych przez jednostki budżetowe.</w:t>
      </w:r>
    </w:p>
    <w:p w:rsidR="008900C4" w:rsidRPr="008900C4" w:rsidRDefault="008900C4" w:rsidP="008900C4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7081E" w:rsidRPr="0037081E" w:rsidRDefault="008900C4" w:rsidP="008900C4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7081E"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Wydatki majątkowe </w:t>
      </w:r>
    </w:p>
    <w:p w:rsidR="00BF5953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Wydatki majątkowe zostały oszacowane na podstawie danych dotyczących zadań inwestycyjnych realizowanych w cyklu jednorocznym w latach 201</w:t>
      </w:r>
      <w:r w:rsidR="00896697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CC6723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896697">
        <w:rPr>
          <w:rFonts w:ascii="Times New Roman" w:hAnsi="Times New Roman" w:cs="Times New Roman"/>
          <w:sz w:val="24"/>
          <w:szCs w:val="24"/>
        </w:rPr>
        <w:t>22</w:t>
      </w:r>
      <w:r w:rsidRPr="0037081E">
        <w:rPr>
          <w:rFonts w:ascii="Times New Roman" w:hAnsi="Times New Roman" w:cs="Times New Roman"/>
          <w:sz w:val="24"/>
          <w:szCs w:val="24"/>
        </w:rPr>
        <w:t>. W roku 201</w:t>
      </w:r>
      <w:r w:rsidR="00896697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planuje się przeznaczyć na zadania inwestycyjne </w:t>
      </w:r>
      <w:r w:rsidR="00B02801">
        <w:rPr>
          <w:rFonts w:ascii="Times New Roman" w:hAnsi="Times New Roman" w:cs="Times New Roman"/>
          <w:sz w:val="24"/>
          <w:szCs w:val="24"/>
        </w:rPr>
        <w:t>3 </w:t>
      </w:r>
      <w:r w:rsidR="00BE3F85">
        <w:rPr>
          <w:rFonts w:ascii="Times New Roman" w:hAnsi="Times New Roman" w:cs="Times New Roman"/>
          <w:sz w:val="24"/>
          <w:szCs w:val="24"/>
        </w:rPr>
        <w:t>505</w:t>
      </w:r>
      <w:r w:rsidR="00B02801">
        <w:rPr>
          <w:rFonts w:ascii="Times New Roman" w:hAnsi="Times New Roman" w:cs="Times New Roman"/>
          <w:sz w:val="24"/>
          <w:szCs w:val="24"/>
        </w:rPr>
        <w:t> 822,31 zł.</w:t>
      </w:r>
    </w:p>
    <w:p w:rsidR="0037081E" w:rsidRPr="0037081E" w:rsidRDefault="0037081E" w:rsidP="008900C4">
      <w:pPr>
        <w:widowControl w:val="0"/>
        <w:numPr>
          <w:ilvl w:val="0"/>
          <w:numId w:val="2"/>
        </w:num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567" w:right="1134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PROGNOZOWANE PRZYCHODY I ROZCHODY BUDŻETU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8900C4">
        <w:rPr>
          <w:rFonts w:ascii="Times New Roman" w:hAnsi="Times New Roman" w:cs="Times New Roman"/>
          <w:sz w:val="24"/>
          <w:szCs w:val="24"/>
        </w:rPr>
        <w:t>W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201</w:t>
      </w:r>
      <w:r w:rsidR="008900C4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planuje się </w:t>
      </w:r>
      <w:r w:rsidR="00B02801" w:rsidRPr="00B02801">
        <w:rPr>
          <w:rFonts w:ascii="Times New Roman" w:hAnsi="Times New Roman" w:cs="Times New Roman"/>
          <w:sz w:val="24"/>
          <w:szCs w:val="24"/>
        </w:rPr>
        <w:t xml:space="preserve">deficyt budżetu </w:t>
      </w:r>
      <w:r w:rsidRPr="00B02801">
        <w:rPr>
          <w:rFonts w:ascii="Times New Roman" w:hAnsi="Times New Roman" w:cs="Times New Roman"/>
          <w:sz w:val="24"/>
          <w:szCs w:val="24"/>
        </w:rPr>
        <w:t xml:space="preserve">w wysokości </w:t>
      </w:r>
      <w:r w:rsidR="00B02801" w:rsidRPr="00B02801">
        <w:rPr>
          <w:rFonts w:ascii="Times New Roman" w:hAnsi="Times New Roman" w:cs="Times New Roman"/>
          <w:sz w:val="24"/>
          <w:szCs w:val="24"/>
        </w:rPr>
        <w:t>4 147 548,00 zł</w:t>
      </w:r>
      <w:r w:rsidRPr="00B02801">
        <w:rPr>
          <w:rFonts w:ascii="Times New Roman" w:hAnsi="Times New Roman" w:cs="Times New Roman"/>
          <w:sz w:val="24"/>
          <w:szCs w:val="24"/>
        </w:rPr>
        <w:t>, natomiast</w:t>
      </w:r>
      <w:r w:rsidRPr="0037081E">
        <w:rPr>
          <w:rFonts w:ascii="Times New Roman" w:hAnsi="Times New Roman" w:cs="Times New Roman"/>
          <w:sz w:val="24"/>
          <w:szCs w:val="24"/>
        </w:rPr>
        <w:t xml:space="preserve"> w kolejnych latach nadwyżki budżetowe niezbędne do spłaty zobowiązań.</w:t>
      </w:r>
    </w:p>
    <w:p w:rsidR="0037081E" w:rsidRPr="0037081E" w:rsidRDefault="000918F7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Przychody budżetu Gminy w 201</w:t>
      </w:r>
      <w:r w:rsidR="00896697">
        <w:rPr>
          <w:rFonts w:ascii="Times New Roman" w:hAnsi="Times New Roman" w:cs="Times New Roman"/>
          <w:sz w:val="24"/>
          <w:szCs w:val="24"/>
        </w:rPr>
        <w:t>7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 r. w kwocie </w:t>
      </w:r>
      <w:r w:rsidR="00B02801">
        <w:rPr>
          <w:rFonts w:ascii="Times New Roman" w:hAnsi="Times New Roman" w:cs="Times New Roman"/>
          <w:sz w:val="24"/>
          <w:szCs w:val="24"/>
        </w:rPr>
        <w:t xml:space="preserve">5 017 000,00 </w:t>
      </w:r>
      <w:r w:rsidR="00911DA1">
        <w:rPr>
          <w:rFonts w:ascii="Times New Roman" w:hAnsi="Times New Roman" w:cs="Times New Roman"/>
          <w:sz w:val="24"/>
          <w:szCs w:val="24"/>
        </w:rPr>
        <w:t xml:space="preserve">zł zostaną przeznaczone na 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spłatę zobowiązań z tytułu zaciągniętych w latach </w:t>
      </w:r>
      <w:r w:rsidR="00B02801">
        <w:rPr>
          <w:rFonts w:ascii="Times New Roman" w:hAnsi="Times New Roman" w:cs="Times New Roman"/>
          <w:sz w:val="24"/>
          <w:szCs w:val="24"/>
        </w:rPr>
        <w:t>ubiegłych kredytów i pożyczek oraz pokrycie deficytu.</w:t>
      </w:r>
    </w:p>
    <w:p w:rsidR="00BF5953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latach 201</w:t>
      </w:r>
      <w:r w:rsidR="00B02801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A36ADC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B02801">
        <w:rPr>
          <w:rFonts w:ascii="Times New Roman" w:hAnsi="Times New Roman" w:cs="Times New Roman"/>
          <w:sz w:val="24"/>
          <w:szCs w:val="24"/>
        </w:rPr>
        <w:t>22</w:t>
      </w:r>
      <w:r w:rsidRPr="0037081E">
        <w:rPr>
          <w:rFonts w:ascii="Times New Roman" w:hAnsi="Times New Roman" w:cs="Times New Roman"/>
          <w:sz w:val="24"/>
          <w:szCs w:val="24"/>
        </w:rPr>
        <w:t xml:space="preserve"> Gmina Radziejowice planuje wyłącznie rozchody zmniejszające dług, czyli spłaty rat kredytów i pożyczek. </w:t>
      </w:r>
    </w:p>
    <w:p w:rsidR="0037081E" w:rsidRPr="0037081E" w:rsidRDefault="0037081E" w:rsidP="008B0978">
      <w:pPr>
        <w:widowControl w:val="0"/>
        <w:tabs>
          <w:tab w:val="left" w:pos="357"/>
          <w:tab w:val="left" w:pos="885"/>
          <w:tab w:val="left" w:pos="1140"/>
          <w:tab w:val="left" w:pos="1170"/>
          <w:tab w:val="left" w:pos="12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autoSpaceDE w:val="0"/>
        <w:autoSpaceDN w:val="0"/>
        <w:adjustRightInd w:val="0"/>
        <w:spacing w:after="0" w:line="360" w:lineRule="auto"/>
        <w:ind w:left="1134" w:right="1134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37081E" w:rsidRPr="005317EE" w:rsidRDefault="005317EE" w:rsidP="005317EE">
      <w:pPr>
        <w:widowControl w:val="0"/>
        <w:tabs>
          <w:tab w:val="left" w:pos="357"/>
          <w:tab w:val="left" w:pos="885"/>
          <w:tab w:val="left" w:pos="1140"/>
          <w:tab w:val="left" w:pos="1170"/>
          <w:tab w:val="left" w:pos="12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autoSpaceDE w:val="0"/>
        <w:autoSpaceDN w:val="0"/>
        <w:adjustRightInd w:val="0"/>
        <w:spacing w:after="0" w:line="360" w:lineRule="auto"/>
        <w:ind w:right="113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5317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III.</w:t>
      </w:r>
      <w:r w:rsidR="0037081E" w:rsidRPr="005317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PROGNOZA DŁUGU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latach 201</w:t>
      </w:r>
      <w:r w:rsidR="00B02801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A36ADC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B02801">
        <w:rPr>
          <w:rFonts w:ascii="Times New Roman" w:hAnsi="Times New Roman" w:cs="Times New Roman"/>
          <w:sz w:val="24"/>
          <w:szCs w:val="24"/>
        </w:rPr>
        <w:t>22</w:t>
      </w:r>
      <w:r w:rsidRPr="0037081E">
        <w:rPr>
          <w:rFonts w:ascii="Times New Roman" w:hAnsi="Times New Roman" w:cs="Times New Roman"/>
          <w:sz w:val="24"/>
          <w:szCs w:val="24"/>
        </w:rPr>
        <w:t xml:space="preserve"> nie jest planowane zaciąganie dodatkowych kredytów, tak więc </w:t>
      </w:r>
      <w:r w:rsidR="00B02801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w planowanym poziomie zadłużenia na koniec poszczególnych lat uwzględniono jedynie spłaty rat kredytów wynikające </w:t>
      </w:r>
      <w:r w:rsidR="00BF5953">
        <w:rPr>
          <w:rFonts w:ascii="Times New Roman" w:hAnsi="Times New Roman" w:cs="Times New Roman"/>
          <w:sz w:val="24"/>
          <w:szCs w:val="24"/>
        </w:rPr>
        <w:t>z</w:t>
      </w:r>
      <w:r w:rsidRPr="0037081E">
        <w:rPr>
          <w:rFonts w:ascii="Times New Roman" w:hAnsi="Times New Roman" w:cs="Times New Roman"/>
          <w:sz w:val="24"/>
          <w:szCs w:val="24"/>
        </w:rPr>
        <w:t> harmonogramów spłat zawartych w umowach kredytowych.</w:t>
      </w:r>
    </w:p>
    <w:p w:rsidR="0037081E" w:rsidRPr="0037081E" w:rsidRDefault="0037081E" w:rsidP="008B0978">
      <w:pPr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1134" w:right="1134"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1E" w:rsidRPr="00B02801" w:rsidRDefault="00B02801" w:rsidP="00B02801">
      <w:pPr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1134" w:right="113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IV.</w:t>
      </w:r>
      <w:r w:rsidR="0037081E" w:rsidRPr="00B02801">
        <w:rPr>
          <w:rFonts w:ascii="Times New Roman" w:hAnsi="Times New Roman" w:cs="Times New Roman"/>
          <w:b/>
          <w:bCs/>
          <w:sz w:val="24"/>
          <w:szCs w:val="24"/>
        </w:rPr>
        <w:t>WIELOLETNIE PRZEDSIĘWZIĘCIA BIEŻĄCE I MAJĄTKOWE</w:t>
      </w:r>
    </w:p>
    <w:p w:rsidR="008B0978" w:rsidRPr="00FA6B64" w:rsidRDefault="0037081E" w:rsidP="008B0978">
      <w:pPr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201</w:t>
      </w:r>
      <w:r w:rsidR="00B02801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na przedsięwzięcia objęte WPF przeznaczono na wydatki </w:t>
      </w:r>
      <w:r w:rsidR="00F911F9">
        <w:rPr>
          <w:rFonts w:ascii="Times New Roman" w:hAnsi="Times New Roman" w:cs="Times New Roman"/>
          <w:sz w:val="24"/>
          <w:szCs w:val="24"/>
        </w:rPr>
        <w:t xml:space="preserve">majątkowe </w:t>
      </w:r>
      <w:r w:rsidRPr="0037081E">
        <w:rPr>
          <w:rFonts w:ascii="Times New Roman" w:hAnsi="Times New Roman" w:cs="Times New Roman"/>
          <w:sz w:val="24"/>
          <w:szCs w:val="24"/>
        </w:rPr>
        <w:t xml:space="preserve">kwotę </w:t>
      </w:r>
      <w:r w:rsidR="009B4886">
        <w:rPr>
          <w:rFonts w:ascii="Times New Roman" w:hAnsi="Times New Roman" w:cs="Times New Roman"/>
          <w:sz w:val="24"/>
          <w:szCs w:val="24"/>
        </w:rPr>
        <w:t>3</w:t>
      </w:r>
      <w:r w:rsidR="004E31E4">
        <w:rPr>
          <w:rFonts w:ascii="Times New Roman" w:hAnsi="Times New Roman" w:cs="Times New Roman"/>
          <w:sz w:val="24"/>
          <w:szCs w:val="24"/>
        </w:rPr>
        <w:t> 196 000,00</w:t>
      </w:r>
      <w:r w:rsidR="009B4886">
        <w:rPr>
          <w:rFonts w:ascii="Times New Roman" w:hAnsi="Times New Roman" w:cs="Times New Roman"/>
          <w:sz w:val="24"/>
          <w:szCs w:val="24"/>
        </w:rPr>
        <w:t xml:space="preserve"> zł. </w:t>
      </w:r>
      <w:r w:rsidRPr="00FA6B64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</w:p>
    <w:p w:rsidR="0037081E" w:rsidRPr="0037081E" w:rsidRDefault="0037081E" w:rsidP="008B0978">
      <w:pPr>
        <w:widowControl w:val="0"/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Wykaz realizowanych i planowanych do realizacji przedsięwzięć wieloletnich zawiera załącznik nr 2 do uchwały. Limit zobowiązań dla przedsięwzię</w:t>
      </w:r>
      <w:r w:rsidR="00BF5953">
        <w:rPr>
          <w:rFonts w:ascii="Times New Roman" w:hAnsi="Times New Roman" w:cs="Times New Roman"/>
          <w:sz w:val="24"/>
          <w:szCs w:val="24"/>
        </w:rPr>
        <w:t>cia</w:t>
      </w:r>
      <w:r w:rsidRPr="0037081E">
        <w:rPr>
          <w:rFonts w:ascii="Times New Roman" w:hAnsi="Times New Roman" w:cs="Times New Roman"/>
          <w:sz w:val="24"/>
          <w:szCs w:val="24"/>
        </w:rPr>
        <w:t xml:space="preserve"> określono jako </w:t>
      </w:r>
      <w:r w:rsidR="00BF5953">
        <w:rPr>
          <w:rFonts w:ascii="Times New Roman" w:hAnsi="Times New Roman" w:cs="Times New Roman"/>
          <w:sz w:val="24"/>
          <w:szCs w:val="24"/>
        </w:rPr>
        <w:t>limit</w:t>
      </w:r>
      <w:r w:rsidRPr="0037081E">
        <w:rPr>
          <w:rFonts w:ascii="Times New Roman" w:hAnsi="Times New Roman" w:cs="Times New Roman"/>
          <w:sz w:val="24"/>
          <w:szCs w:val="24"/>
        </w:rPr>
        <w:t xml:space="preserve"> wydatków </w:t>
      </w:r>
      <w:r w:rsidR="00260E9E">
        <w:rPr>
          <w:rFonts w:ascii="Times New Roman" w:hAnsi="Times New Roman" w:cs="Times New Roman"/>
          <w:sz w:val="24"/>
          <w:szCs w:val="24"/>
        </w:rPr>
        <w:t>d</w:t>
      </w:r>
      <w:r w:rsidRPr="0037081E">
        <w:rPr>
          <w:rFonts w:ascii="Times New Roman" w:hAnsi="Times New Roman" w:cs="Times New Roman"/>
          <w:sz w:val="24"/>
          <w:szCs w:val="24"/>
        </w:rPr>
        <w:t xml:space="preserve">o realizacji </w:t>
      </w:r>
      <w:r w:rsidR="00BF5953">
        <w:rPr>
          <w:rFonts w:ascii="Times New Roman" w:hAnsi="Times New Roman" w:cs="Times New Roman"/>
          <w:sz w:val="24"/>
          <w:szCs w:val="24"/>
        </w:rPr>
        <w:t>w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201</w:t>
      </w:r>
      <w:r w:rsidR="00B02801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</w:t>
      </w:r>
      <w:r w:rsidR="00BF5953">
        <w:rPr>
          <w:rFonts w:ascii="Times New Roman" w:hAnsi="Times New Roman" w:cs="Times New Roman"/>
          <w:sz w:val="24"/>
          <w:szCs w:val="24"/>
        </w:rPr>
        <w:t xml:space="preserve">. </w:t>
      </w:r>
      <w:r w:rsidRPr="0037081E">
        <w:rPr>
          <w:rFonts w:ascii="Times New Roman" w:hAnsi="Times New Roman" w:cs="Times New Roman"/>
          <w:sz w:val="24"/>
          <w:szCs w:val="24"/>
        </w:rPr>
        <w:t xml:space="preserve">Zachowując ciągłość przedsięwzięć wieloletnich w załączniku nr 2 uwzględniono również zadania, które w latach poprzednich posiadały status przedsięwzięcia wieloletniego a okres </w:t>
      </w:r>
      <w:r w:rsidR="00BF5953">
        <w:rPr>
          <w:rFonts w:ascii="Times New Roman" w:hAnsi="Times New Roman" w:cs="Times New Roman"/>
          <w:sz w:val="24"/>
          <w:szCs w:val="24"/>
        </w:rPr>
        <w:t>r</w:t>
      </w:r>
      <w:r w:rsidRPr="0037081E">
        <w:rPr>
          <w:rFonts w:ascii="Times New Roman" w:hAnsi="Times New Roman" w:cs="Times New Roman"/>
          <w:sz w:val="24"/>
          <w:szCs w:val="24"/>
        </w:rPr>
        <w:t>ealizacji kończy się w roku 201</w:t>
      </w:r>
      <w:r w:rsidR="00185456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. W ramach przedsięwzięć </w:t>
      </w:r>
      <w:r w:rsidR="00950D6B">
        <w:rPr>
          <w:rFonts w:ascii="Times New Roman" w:hAnsi="Times New Roman" w:cs="Times New Roman"/>
          <w:sz w:val="24"/>
          <w:szCs w:val="24"/>
        </w:rPr>
        <w:t>o</w:t>
      </w:r>
      <w:r w:rsidRPr="0037081E">
        <w:rPr>
          <w:rFonts w:ascii="Times New Roman" w:hAnsi="Times New Roman" w:cs="Times New Roman"/>
          <w:sz w:val="24"/>
          <w:szCs w:val="24"/>
        </w:rPr>
        <w:t xml:space="preserve">kreślonych w załączniku nr 2 </w:t>
      </w:r>
      <w:r w:rsidR="00B02801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do uchwały w sprawie WPF na lata 201</w:t>
      </w:r>
      <w:r w:rsidR="00B02801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415338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B02801">
        <w:rPr>
          <w:rFonts w:ascii="Times New Roman" w:hAnsi="Times New Roman" w:cs="Times New Roman"/>
          <w:sz w:val="24"/>
          <w:szCs w:val="24"/>
        </w:rPr>
        <w:t>22</w:t>
      </w:r>
      <w:r w:rsidRPr="0037081E">
        <w:rPr>
          <w:rFonts w:ascii="Times New Roman" w:hAnsi="Times New Roman" w:cs="Times New Roman"/>
          <w:sz w:val="24"/>
          <w:szCs w:val="24"/>
        </w:rPr>
        <w:t xml:space="preserve"> wykazano kwoty wynikające z realizacji zadań  finansowanych</w:t>
      </w:r>
      <w:r w:rsidR="00950D6B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ze środków własnych</w:t>
      </w:r>
      <w:r w:rsidR="00950D6B">
        <w:rPr>
          <w:rFonts w:ascii="Times New Roman" w:hAnsi="Times New Roman" w:cs="Times New Roman"/>
          <w:sz w:val="24"/>
          <w:szCs w:val="24"/>
        </w:rPr>
        <w:t xml:space="preserve">. 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801" w:rsidRDefault="00B81B4C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201</w:t>
      </w:r>
      <w:r w:rsidR="00B0280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r. </w:t>
      </w:r>
      <w:r w:rsidR="00B02801">
        <w:rPr>
          <w:rFonts w:ascii="Times New Roman" w:hAnsi="Times New Roman" w:cs="Times New Roman"/>
          <w:sz w:val="24"/>
          <w:szCs w:val="24"/>
        </w:rPr>
        <w:t xml:space="preserve">realizowane </w:t>
      </w:r>
      <w:r>
        <w:rPr>
          <w:rFonts w:ascii="Times New Roman" w:hAnsi="Times New Roman" w:cs="Times New Roman"/>
          <w:sz w:val="24"/>
          <w:szCs w:val="24"/>
        </w:rPr>
        <w:t>będ</w:t>
      </w:r>
      <w:r w:rsidR="00B02801">
        <w:rPr>
          <w:rFonts w:ascii="Times New Roman" w:hAnsi="Times New Roman" w:cs="Times New Roman"/>
          <w:sz w:val="24"/>
          <w:szCs w:val="24"/>
        </w:rPr>
        <w:t xml:space="preserve">ą cztery </w:t>
      </w:r>
      <w:r>
        <w:rPr>
          <w:rFonts w:ascii="Times New Roman" w:hAnsi="Times New Roman" w:cs="Times New Roman"/>
          <w:sz w:val="24"/>
          <w:szCs w:val="24"/>
        </w:rPr>
        <w:t>przedsięwzięci</w:t>
      </w:r>
      <w:r w:rsidR="00B02801">
        <w:rPr>
          <w:rFonts w:ascii="Times New Roman" w:hAnsi="Times New Roman" w:cs="Times New Roman"/>
          <w:sz w:val="24"/>
          <w:szCs w:val="24"/>
        </w:rPr>
        <w:t>a :</w:t>
      </w:r>
    </w:p>
    <w:p w:rsidR="004E31E4" w:rsidRPr="0037081E" w:rsidRDefault="004E31E4" w:rsidP="004E31E4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6B64">
        <w:rPr>
          <w:rFonts w:ascii="Times New Roman" w:hAnsi="Times New Roman" w:cs="Times New Roman"/>
          <w:sz w:val="24"/>
          <w:szCs w:val="24"/>
        </w:rPr>
        <w:t>Budowa i remont Stacji Uzdatniania Wody w m. Krze Duże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081E" w:rsidRDefault="00B02801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02801">
        <w:rPr>
          <w:rFonts w:ascii="Times New Roman" w:hAnsi="Times New Roman" w:cs="Times New Roman"/>
          <w:sz w:val="24"/>
          <w:szCs w:val="24"/>
        </w:rPr>
        <w:t>Rozbudowa szkoły podstawowej w Korytowie A</w:t>
      </w:r>
      <w:r w:rsidR="00B81B4C" w:rsidRPr="00B02801">
        <w:rPr>
          <w:rFonts w:ascii="Times New Roman" w:hAnsi="Times New Roman" w:cs="Times New Roman"/>
          <w:sz w:val="24"/>
          <w:szCs w:val="24"/>
        </w:rPr>
        <w:t>,</w:t>
      </w:r>
    </w:p>
    <w:p w:rsidR="00B02801" w:rsidRDefault="00B02801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02801">
        <w:rPr>
          <w:rFonts w:ascii="Times New Roman" w:hAnsi="Times New Roman" w:cs="Times New Roman"/>
          <w:sz w:val="24"/>
          <w:szCs w:val="24"/>
        </w:rPr>
        <w:t>Budowa przedszkola</w:t>
      </w:r>
      <w:r w:rsidR="00380217">
        <w:rPr>
          <w:rFonts w:ascii="Times New Roman" w:hAnsi="Times New Roman" w:cs="Times New Roman"/>
          <w:sz w:val="24"/>
          <w:szCs w:val="24"/>
        </w:rPr>
        <w:t xml:space="preserve"> w Radziejowicach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02801" w:rsidRDefault="00B02801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02801">
        <w:rPr>
          <w:rFonts w:ascii="Times New Roman" w:hAnsi="Times New Roman" w:cs="Times New Roman"/>
          <w:sz w:val="24"/>
          <w:szCs w:val="24"/>
        </w:rPr>
        <w:t xml:space="preserve">Budowa boiska </w:t>
      </w:r>
      <w:r w:rsidR="00195640">
        <w:rPr>
          <w:rFonts w:ascii="Times New Roman" w:hAnsi="Times New Roman" w:cs="Times New Roman"/>
          <w:sz w:val="24"/>
          <w:szCs w:val="24"/>
        </w:rPr>
        <w:t xml:space="preserve">sportowego </w:t>
      </w:r>
      <w:r w:rsidR="00380217">
        <w:rPr>
          <w:rFonts w:ascii="Times New Roman" w:hAnsi="Times New Roman" w:cs="Times New Roman"/>
          <w:sz w:val="24"/>
          <w:szCs w:val="24"/>
        </w:rPr>
        <w:t>w Radziejowicach</w:t>
      </w:r>
      <w:r w:rsidR="004E31E4">
        <w:rPr>
          <w:rFonts w:ascii="Times New Roman" w:hAnsi="Times New Roman" w:cs="Times New Roman"/>
          <w:sz w:val="24"/>
          <w:szCs w:val="24"/>
        </w:rPr>
        <w:t>.</w:t>
      </w:r>
    </w:p>
    <w:p w:rsidR="00F91F27" w:rsidRDefault="00F91F27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sectPr w:rsidR="00F91F27" w:rsidSect="007047AF">
      <w:headerReference w:type="default" r:id="rId8"/>
      <w:footerReference w:type="default" r:id="rId9"/>
      <w:pgSz w:w="11905" w:h="16837"/>
      <w:pgMar w:top="0" w:right="0" w:bottom="0" w:left="0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C29" w:rsidRDefault="00163C29" w:rsidP="000D660C">
      <w:pPr>
        <w:spacing w:after="0" w:line="240" w:lineRule="auto"/>
      </w:pPr>
      <w:r>
        <w:separator/>
      </w:r>
    </w:p>
  </w:endnote>
  <w:endnote w:type="continuationSeparator" w:id="0">
    <w:p w:rsidR="00163C29" w:rsidRDefault="00163C29" w:rsidP="000D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7AF" w:rsidRDefault="00526E22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jc w:val="center"/>
    </w:pPr>
    <w:r>
      <w:fldChar w:fldCharType="begin"/>
    </w:r>
    <w:r w:rsidR="0037081E">
      <w:instrText xml:space="preserve"> PAGE \* Arabic </w:instrText>
    </w:r>
    <w:r>
      <w:fldChar w:fldCharType="separate"/>
    </w:r>
    <w:r w:rsidR="00C30128">
      <w:rPr>
        <w:noProof/>
      </w:rPr>
      <w:t>4</w:t>
    </w:r>
    <w:r>
      <w:fldChar w:fldCharType="end"/>
    </w:r>
  </w:p>
  <w:p w:rsidR="007047AF" w:rsidRDefault="00163C29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C29" w:rsidRDefault="00163C29" w:rsidP="000D660C">
      <w:pPr>
        <w:spacing w:after="0" w:line="240" w:lineRule="auto"/>
      </w:pPr>
      <w:r>
        <w:separator/>
      </w:r>
    </w:p>
  </w:footnote>
  <w:footnote w:type="continuationSeparator" w:id="0">
    <w:p w:rsidR="00163C29" w:rsidRDefault="00163C29" w:rsidP="000D6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7AF" w:rsidRDefault="00163C29">
    <w:pPr>
      <w:pStyle w:val="Nagwek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09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7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0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4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179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15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5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28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2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</w:abstractNum>
  <w:abstractNum w:abstractNumId="1" w15:restartNumberingAfterBreak="0">
    <w:nsid w:val="00000002"/>
    <w:multiLevelType w:val="multilevel"/>
    <w:tmpl w:val="2634FE94"/>
    <w:lvl w:ilvl="0">
      <w:start w:val="1"/>
      <w:numFmt w:val="upperRoman"/>
      <w:lvlText w:val="%1."/>
      <w:lvlJc w:val="right"/>
      <w:pPr>
        <w:ind w:left="709" w:firstLine="709"/>
      </w:pPr>
      <w:rPr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upperRoman"/>
      <w:lvlText w:val="%2."/>
      <w:lvlJc w:val="left"/>
      <w:pPr>
        <w:ind w:left="7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upperRoman"/>
      <w:lvlText w:val="%3."/>
      <w:lvlJc w:val="left"/>
      <w:pPr>
        <w:ind w:left="10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upperRoman"/>
      <w:lvlText w:val="%4."/>
      <w:lvlJc w:val="left"/>
      <w:pPr>
        <w:ind w:left="14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upperRoman"/>
      <w:lvlText w:val="%5."/>
      <w:lvlJc w:val="left"/>
      <w:pPr>
        <w:ind w:left="179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upperRoman"/>
      <w:lvlText w:val="%6."/>
      <w:lvlJc w:val="left"/>
      <w:pPr>
        <w:ind w:left="215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upperRoman"/>
      <w:lvlText w:val="%7."/>
      <w:lvlJc w:val="left"/>
      <w:pPr>
        <w:ind w:left="25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upperRoman"/>
      <w:lvlText w:val="%8."/>
      <w:lvlJc w:val="left"/>
      <w:pPr>
        <w:ind w:left="28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upperRoman"/>
      <w:lvlText w:val="%9."/>
      <w:lvlJc w:val="left"/>
      <w:pPr>
        <w:ind w:left="32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ind w:left="709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"/>
      <w:lvlJc w:val="left"/>
      <w:pPr>
        <w:ind w:left="71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"/>
      <w:lvlJc w:val="left"/>
      <w:pPr>
        <w:ind w:left="107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"/>
      <w:lvlJc w:val="left"/>
      <w:pPr>
        <w:ind w:left="143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"/>
      <w:lvlJc w:val="left"/>
      <w:pPr>
        <w:ind w:left="179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"/>
      <w:lvlJc w:val="left"/>
      <w:pPr>
        <w:ind w:left="215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"/>
      <w:lvlJc w:val="left"/>
      <w:pPr>
        <w:ind w:left="251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"/>
      <w:lvlJc w:val="left"/>
      <w:pPr>
        <w:ind w:left="287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"/>
      <w:lvlJc w:val="left"/>
      <w:pPr>
        <w:ind w:left="323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 w15:restartNumberingAfterBreak="0">
    <w:nsid w:val="2DDC7FA1"/>
    <w:multiLevelType w:val="hybridMultilevel"/>
    <w:tmpl w:val="165C08BA"/>
    <w:lvl w:ilvl="0" w:tplc="04150013">
      <w:start w:val="1"/>
      <w:numFmt w:val="upperRoman"/>
      <w:lvlText w:val="%1."/>
      <w:lvlJc w:val="righ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42CE1CBB"/>
    <w:multiLevelType w:val="hybridMultilevel"/>
    <w:tmpl w:val="FA88EEB0"/>
    <w:lvl w:ilvl="0" w:tplc="352C6520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upperRoman"/>
        <w:lvlText w:val="%1."/>
        <w:lvlJc w:val="left"/>
        <w:pPr>
          <w:ind w:left="709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000000"/>
          <w:sz w:val="24"/>
          <w:szCs w:val="24"/>
          <w:u w:val="none"/>
        </w:rPr>
      </w:lvl>
    </w:lvlOverride>
    <w:lvlOverride w:ilvl="1">
      <w:lvl w:ilvl="1">
        <w:start w:val="1"/>
        <w:numFmt w:val="upperRoman"/>
        <w:lvlText w:val="%2."/>
        <w:lvlJc w:val="left"/>
        <w:pPr>
          <w:ind w:left="7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upperRoman"/>
        <w:lvlText w:val="%3."/>
        <w:lvlJc w:val="left"/>
        <w:pPr>
          <w:ind w:left="10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upperRoman"/>
        <w:lvlText w:val="%4."/>
        <w:lvlJc w:val="left"/>
        <w:pPr>
          <w:ind w:left="14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upperRoman"/>
        <w:lvlText w:val="%5."/>
        <w:lvlJc w:val="left"/>
        <w:pPr>
          <w:ind w:left="179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upperRoman"/>
        <w:lvlText w:val="%6."/>
        <w:lvlJc w:val="left"/>
        <w:pPr>
          <w:ind w:left="215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upperRoman"/>
        <w:lvlText w:val="%7."/>
        <w:lvlJc w:val="left"/>
        <w:pPr>
          <w:ind w:left="25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upperRoman"/>
        <w:lvlText w:val="%8."/>
        <w:lvlJc w:val="left"/>
        <w:pPr>
          <w:ind w:left="28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upperRoman"/>
        <w:lvlText w:val="%9."/>
        <w:lvlJc w:val="left"/>
        <w:pPr>
          <w:ind w:left="32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1"/>
    <w:lvlOverride w:ilvl="0">
      <w:lvl w:ilvl="0">
        <w:start w:val="1"/>
        <w:numFmt w:val="upperRoman"/>
        <w:lvlText w:val="%1."/>
        <w:lvlJc w:val="left"/>
        <w:pPr>
          <w:ind w:left="709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upperRoman"/>
        <w:lvlText w:val="%2."/>
        <w:lvlJc w:val="left"/>
        <w:pPr>
          <w:ind w:left="7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upperRoman"/>
        <w:lvlText w:val="%3."/>
        <w:lvlJc w:val="left"/>
        <w:pPr>
          <w:ind w:left="10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upperRoman"/>
        <w:lvlText w:val="%4."/>
        <w:lvlJc w:val="left"/>
        <w:pPr>
          <w:ind w:left="14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upperRoman"/>
        <w:lvlText w:val="%5."/>
        <w:lvlJc w:val="left"/>
        <w:pPr>
          <w:ind w:left="179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upperRoman"/>
        <w:lvlText w:val="%6."/>
        <w:lvlJc w:val="left"/>
        <w:pPr>
          <w:ind w:left="215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upperRoman"/>
        <w:lvlText w:val="%7."/>
        <w:lvlJc w:val="left"/>
        <w:pPr>
          <w:ind w:left="25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upperRoman"/>
        <w:lvlText w:val="%8."/>
        <w:lvlJc w:val="left"/>
        <w:pPr>
          <w:ind w:left="28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upperRoman"/>
        <w:lvlText w:val="%9."/>
        <w:lvlJc w:val="left"/>
        <w:pPr>
          <w:ind w:left="32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81E"/>
    <w:rsid w:val="000918F7"/>
    <w:rsid w:val="000C0F83"/>
    <w:rsid w:val="000D660C"/>
    <w:rsid w:val="000E5F51"/>
    <w:rsid w:val="00163C29"/>
    <w:rsid w:val="0018270E"/>
    <w:rsid w:val="00185456"/>
    <w:rsid w:val="00195640"/>
    <w:rsid w:val="001C55E6"/>
    <w:rsid w:val="002074DE"/>
    <w:rsid w:val="00214794"/>
    <w:rsid w:val="002310EE"/>
    <w:rsid w:val="00260E9E"/>
    <w:rsid w:val="002B3ADA"/>
    <w:rsid w:val="002D7C9D"/>
    <w:rsid w:val="002E4157"/>
    <w:rsid w:val="003074C2"/>
    <w:rsid w:val="00354D8C"/>
    <w:rsid w:val="00365711"/>
    <w:rsid w:val="0037081E"/>
    <w:rsid w:val="00380217"/>
    <w:rsid w:val="003E681E"/>
    <w:rsid w:val="00415338"/>
    <w:rsid w:val="00453140"/>
    <w:rsid w:val="004B7A73"/>
    <w:rsid w:val="004D79BA"/>
    <w:rsid w:val="004E31E4"/>
    <w:rsid w:val="00526E22"/>
    <w:rsid w:val="005317EE"/>
    <w:rsid w:val="0053362A"/>
    <w:rsid w:val="005D0936"/>
    <w:rsid w:val="005F2808"/>
    <w:rsid w:val="006422A7"/>
    <w:rsid w:val="00656A09"/>
    <w:rsid w:val="0066156F"/>
    <w:rsid w:val="00663F4F"/>
    <w:rsid w:val="0070486F"/>
    <w:rsid w:val="00752BB3"/>
    <w:rsid w:val="0076243A"/>
    <w:rsid w:val="007B3B8A"/>
    <w:rsid w:val="00851251"/>
    <w:rsid w:val="008621DE"/>
    <w:rsid w:val="00864DA4"/>
    <w:rsid w:val="008900C4"/>
    <w:rsid w:val="00896697"/>
    <w:rsid w:val="008B0978"/>
    <w:rsid w:val="008C180A"/>
    <w:rsid w:val="008C1CA1"/>
    <w:rsid w:val="008D1B39"/>
    <w:rsid w:val="008E1D3B"/>
    <w:rsid w:val="00911DA1"/>
    <w:rsid w:val="00937932"/>
    <w:rsid w:val="00950D6B"/>
    <w:rsid w:val="00961992"/>
    <w:rsid w:val="009B4886"/>
    <w:rsid w:val="009B6193"/>
    <w:rsid w:val="00A31A30"/>
    <w:rsid w:val="00A36ADC"/>
    <w:rsid w:val="00B02801"/>
    <w:rsid w:val="00B11394"/>
    <w:rsid w:val="00B81B4C"/>
    <w:rsid w:val="00BB2DE8"/>
    <w:rsid w:val="00BE3F85"/>
    <w:rsid w:val="00BF5953"/>
    <w:rsid w:val="00C30128"/>
    <w:rsid w:val="00CB7D1E"/>
    <w:rsid w:val="00CC6723"/>
    <w:rsid w:val="00D10E12"/>
    <w:rsid w:val="00D15394"/>
    <w:rsid w:val="00D2448A"/>
    <w:rsid w:val="00D274DC"/>
    <w:rsid w:val="00D41EF0"/>
    <w:rsid w:val="00D57DA2"/>
    <w:rsid w:val="00D8372C"/>
    <w:rsid w:val="00DB0F28"/>
    <w:rsid w:val="00E111C0"/>
    <w:rsid w:val="00F2235A"/>
    <w:rsid w:val="00F2658D"/>
    <w:rsid w:val="00F54C2F"/>
    <w:rsid w:val="00F80F38"/>
    <w:rsid w:val="00F911F9"/>
    <w:rsid w:val="00F91F27"/>
    <w:rsid w:val="00FA6B64"/>
    <w:rsid w:val="00FB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5655A5-6CF2-4A51-A080-D089F9E3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6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7081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7081E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081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7081E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8B09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24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4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1E96D-4BF4-4B17-B4EA-3778827A6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1267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Jaworska</dc:creator>
  <cp:keywords/>
  <dc:description/>
  <cp:lastModifiedBy>Teresa Jaworska</cp:lastModifiedBy>
  <cp:revision>27</cp:revision>
  <cp:lastPrinted>2016-12-22T11:16:00Z</cp:lastPrinted>
  <dcterms:created xsi:type="dcterms:W3CDTF">2016-11-10T08:58:00Z</dcterms:created>
  <dcterms:modified xsi:type="dcterms:W3CDTF">2016-12-22T11:17:00Z</dcterms:modified>
</cp:coreProperties>
</file>