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61" w:rsidRPr="00436999" w:rsidRDefault="00436999" w:rsidP="002F3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99">
        <w:rPr>
          <w:rFonts w:ascii="Times New Roman" w:hAnsi="Times New Roman" w:cs="Times New Roman"/>
          <w:b/>
          <w:sz w:val="24"/>
          <w:szCs w:val="24"/>
        </w:rPr>
        <w:t>UCHWAŁA Nr XXIV/118/2016</w:t>
      </w:r>
    </w:p>
    <w:p w:rsidR="002F3F61" w:rsidRPr="00436999" w:rsidRDefault="002F3F61" w:rsidP="002F3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99">
        <w:rPr>
          <w:rFonts w:ascii="Times New Roman" w:hAnsi="Times New Roman" w:cs="Times New Roman"/>
          <w:b/>
          <w:sz w:val="24"/>
          <w:szCs w:val="24"/>
        </w:rPr>
        <w:t>Rady Gminy Radziejowice</w:t>
      </w:r>
    </w:p>
    <w:p w:rsidR="002F3F61" w:rsidRPr="00436999" w:rsidRDefault="002F3F61" w:rsidP="002F3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9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36999" w:rsidRPr="00436999">
        <w:rPr>
          <w:rFonts w:ascii="Times New Roman" w:hAnsi="Times New Roman" w:cs="Times New Roman"/>
          <w:b/>
          <w:sz w:val="24"/>
          <w:szCs w:val="24"/>
        </w:rPr>
        <w:t>19.05.2016r.</w:t>
      </w:r>
    </w:p>
    <w:p w:rsidR="002F3F61" w:rsidRPr="00B37A22" w:rsidRDefault="002F3F61" w:rsidP="002F3F61">
      <w:pPr>
        <w:rPr>
          <w:rFonts w:ascii="Times New Roman" w:hAnsi="Times New Roman" w:cs="Times New Roman"/>
          <w:sz w:val="24"/>
          <w:szCs w:val="24"/>
        </w:rPr>
      </w:pPr>
    </w:p>
    <w:p w:rsidR="002F3F61" w:rsidRPr="00436999" w:rsidRDefault="002F3F61" w:rsidP="002F3F6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6999">
        <w:rPr>
          <w:rFonts w:ascii="Times New Roman" w:hAnsi="Times New Roman" w:cs="Times New Roman"/>
          <w:b/>
          <w:sz w:val="24"/>
          <w:szCs w:val="24"/>
        </w:rPr>
        <w:t>w sprawie wydania opinii o lokalizacji kasyna gry.</w:t>
      </w:r>
    </w:p>
    <w:bookmarkEnd w:id="0"/>
    <w:p w:rsidR="002F3F61" w:rsidRPr="00B37A22" w:rsidRDefault="002F3F61" w:rsidP="002F3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EC" w:rsidRPr="00B37A22" w:rsidRDefault="002F3F61" w:rsidP="002F3F61">
      <w:pPr>
        <w:jc w:val="both"/>
        <w:rPr>
          <w:rFonts w:ascii="Times New Roman" w:hAnsi="Times New Roman" w:cs="Times New Roman"/>
          <w:sz w:val="24"/>
          <w:szCs w:val="24"/>
        </w:rPr>
      </w:pPr>
      <w:r w:rsidRPr="00B37A22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BF09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7A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7A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7A22">
        <w:rPr>
          <w:rFonts w:ascii="Times New Roman" w:hAnsi="Times New Roman" w:cs="Times New Roman"/>
          <w:sz w:val="24"/>
          <w:szCs w:val="24"/>
        </w:rPr>
        <w:t xml:space="preserve">. Dz. U.  z 2016r. poz. 446) </w:t>
      </w:r>
      <w:r w:rsidR="00B80BA1" w:rsidRPr="00B80BA1">
        <w:rPr>
          <w:rFonts w:ascii="Times New Roman" w:hAnsi="Times New Roman" w:cs="Times New Roman"/>
          <w:sz w:val="24"/>
          <w:szCs w:val="24"/>
        </w:rPr>
        <w:t xml:space="preserve">oraz art. 35 pkt 15 ustawy z dnia 19 listopada 2009 r. o grach hazardowych (Dz.U. z 2016r. poz. 471)  </w:t>
      </w:r>
    </w:p>
    <w:p w:rsidR="002F3F61" w:rsidRPr="00B37A22" w:rsidRDefault="002F3F61" w:rsidP="002F3F61">
      <w:pPr>
        <w:jc w:val="both"/>
        <w:rPr>
          <w:rFonts w:ascii="Times New Roman" w:hAnsi="Times New Roman" w:cs="Times New Roman"/>
          <w:sz w:val="24"/>
          <w:szCs w:val="24"/>
        </w:rPr>
      </w:pPr>
      <w:r w:rsidRPr="00B37A22">
        <w:rPr>
          <w:rFonts w:ascii="Times New Roman" w:hAnsi="Times New Roman" w:cs="Times New Roman"/>
          <w:sz w:val="24"/>
          <w:szCs w:val="24"/>
        </w:rPr>
        <w:t xml:space="preserve">Rada Gminy Radziejowice  uchwala co następuje: </w:t>
      </w:r>
    </w:p>
    <w:p w:rsidR="002D06EC" w:rsidRPr="00B37A22" w:rsidRDefault="002D06EC" w:rsidP="002F3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61" w:rsidRPr="00B37A22" w:rsidRDefault="002F3F61" w:rsidP="002F3F61">
      <w:pPr>
        <w:jc w:val="both"/>
        <w:rPr>
          <w:rFonts w:ascii="Times New Roman" w:hAnsi="Times New Roman" w:cs="Times New Roman"/>
          <w:sz w:val="24"/>
          <w:szCs w:val="24"/>
        </w:rPr>
      </w:pPr>
      <w:r w:rsidRPr="00B37A22">
        <w:rPr>
          <w:rFonts w:ascii="Times New Roman" w:hAnsi="Times New Roman" w:cs="Times New Roman"/>
          <w:sz w:val="24"/>
          <w:szCs w:val="24"/>
        </w:rPr>
        <w:t xml:space="preserve">§ 1 Opiniuje się pozytywnie lokalizację kasyna gry </w:t>
      </w:r>
      <w:r w:rsidR="00BF095C" w:rsidRPr="00BF095C">
        <w:rPr>
          <w:rFonts w:ascii="Times New Roman" w:hAnsi="Times New Roman" w:cs="Times New Roman"/>
          <w:sz w:val="24"/>
          <w:szCs w:val="24"/>
        </w:rPr>
        <w:t>w budynku stanowiącym Hotel i Restaurację  Stary Dwór położonym w m. Krze Duże</w:t>
      </w:r>
      <w:r w:rsidR="00BF095C">
        <w:rPr>
          <w:rFonts w:ascii="Times New Roman" w:hAnsi="Times New Roman" w:cs="Times New Roman"/>
          <w:sz w:val="24"/>
          <w:szCs w:val="24"/>
        </w:rPr>
        <w:t xml:space="preserve"> 28, </w:t>
      </w:r>
      <w:r w:rsidRPr="00B37A22">
        <w:rPr>
          <w:rFonts w:ascii="Times New Roman" w:hAnsi="Times New Roman" w:cs="Times New Roman"/>
          <w:sz w:val="24"/>
          <w:szCs w:val="24"/>
        </w:rPr>
        <w:t>wskazaną przez Spółkę z.o.o. RROENT z siedzibą we Wrocławiu pod adresem: 53-413 Wrocław, ul. Gwiaździsta 64, lok. 29/3 KRS 0000562001</w:t>
      </w:r>
      <w:r w:rsidR="002D06EC" w:rsidRPr="00B37A22">
        <w:rPr>
          <w:rFonts w:ascii="Times New Roman" w:hAnsi="Times New Roman" w:cs="Times New Roman"/>
          <w:sz w:val="24"/>
          <w:szCs w:val="24"/>
        </w:rPr>
        <w:t>.</w:t>
      </w:r>
    </w:p>
    <w:p w:rsidR="002F3F61" w:rsidRPr="00B37A22" w:rsidRDefault="002F3F61" w:rsidP="002F3F61">
      <w:pPr>
        <w:rPr>
          <w:rFonts w:ascii="Times New Roman" w:hAnsi="Times New Roman" w:cs="Times New Roman"/>
          <w:sz w:val="24"/>
          <w:szCs w:val="24"/>
        </w:rPr>
      </w:pPr>
    </w:p>
    <w:p w:rsidR="002F3F61" w:rsidRPr="00B37A22" w:rsidRDefault="002F3F61" w:rsidP="002F3F61">
      <w:pPr>
        <w:rPr>
          <w:rFonts w:ascii="Times New Roman" w:hAnsi="Times New Roman" w:cs="Times New Roman"/>
          <w:sz w:val="24"/>
          <w:szCs w:val="24"/>
        </w:rPr>
      </w:pPr>
      <w:r w:rsidRPr="00B37A22">
        <w:rPr>
          <w:rFonts w:ascii="Times New Roman" w:hAnsi="Times New Roman" w:cs="Times New Roman"/>
          <w:sz w:val="24"/>
          <w:szCs w:val="24"/>
        </w:rPr>
        <w:t>§ 2  Wykonanie uchwały powierza się Wójtowi Gminy</w:t>
      </w:r>
      <w:r w:rsidR="002D06EC" w:rsidRPr="00B37A22">
        <w:rPr>
          <w:rFonts w:ascii="Times New Roman" w:hAnsi="Times New Roman" w:cs="Times New Roman"/>
          <w:sz w:val="24"/>
          <w:szCs w:val="24"/>
        </w:rPr>
        <w:t xml:space="preserve"> Radziejowice</w:t>
      </w:r>
      <w:r w:rsidRPr="00B37A22">
        <w:rPr>
          <w:rFonts w:ascii="Times New Roman" w:hAnsi="Times New Roman" w:cs="Times New Roman"/>
          <w:sz w:val="24"/>
          <w:szCs w:val="24"/>
        </w:rPr>
        <w:t>.</w:t>
      </w:r>
    </w:p>
    <w:p w:rsidR="002F3F61" w:rsidRPr="00B37A22" w:rsidRDefault="002F3F61" w:rsidP="002F3F61">
      <w:pPr>
        <w:rPr>
          <w:rFonts w:ascii="Times New Roman" w:hAnsi="Times New Roman" w:cs="Times New Roman"/>
          <w:sz w:val="24"/>
          <w:szCs w:val="24"/>
        </w:rPr>
      </w:pPr>
    </w:p>
    <w:p w:rsidR="002F3F61" w:rsidRPr="00B37A22" w:rsidRDefault="002F3F61" w:rsidP="002F3F61">
      <w:pPr>
        <w:rPr>
          <w:rFonts w:ascii="Times New Roman" w:hAnsi="Times New Roman" w:cs="Times New Roman"/>
          <w:sz w:val="24"/>
          <w:szCs w:val="24"/>
        </w:rPr>
      </w:pPr>
      <w:r w:rsidRPr="00B37A22">
        <w:rPr>
          <w:rFonts w:ascii="Times New Roman" w:hAnsi="Times New Roman" w:cs="Times New Roman"/>
          <w:sz w:val="24"/>
          <w:szCs w:val="24"/>
        </w:rPr>
        <w:t xml:space="preserve">§ 3  Uchwała wchodzi w życie z dniem podjęcia. </w:t>
      </w: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2F3F61" w:rsidRPr="00B37A22" w:rsidRDefault="002F3F61" w:rsidP="002F3F61">
      <w:pPr>
        <w:rPr>
          <w:rFonts w:ascii="Times New Roman" w:hAnsi="Times New Roman" w:cs="Times New Roman"/>
        </w:rPr>
      </w:pPr>
    </w:p>
    <w:p w:rsidR="00003D2E" w:rsidRPr="00B37A22" w:rsidRDefault="002F3F61" w:rsidP="002D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22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z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a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s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a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d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n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B37A22">
        <w:rPr>
          <w:rFonts w:ascii="Times New Roman" w:hAnsi="Times New Roman" w:cs="Times New Roman"/>
          <w:b/>
          <w:sz w:val="24"/>
          <w:szCs w:val="24"/>
        </w:rPr>
        <w:t>e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n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i</w:t>
      </w:r>
      <w:r w:rsidR="002D06EC" w:rsidRPr="00B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A22">
        <w:rPr>
          <w:rFonts w:ascii="Times New Roman" w:hAnsi="Times New Roman" w:cs="Times New Roman"/>
          <w:b/>
          <w:sz w:val="24"/>
          <w:szCs w:val="24"/>
        </w:rPr>
        <w:t>e</w:t>
      </w:r>
    </w:p>
    <w:p w:rsidR="002D06EC" w:rsidRDefault="002D06EC" w:rsidP="002D06EC">
      <w:pPr>
        <w:rPr>
          <w:b/>
          <w:sz w:val="24"/>
          <w:szCs w:val="24"/>
        </w:rPr>
      </w:pPr>
    </w:p>
    <w:p w:rsidR="00B37A22" w:rsidRDefault="00B37A22" w:rsidP="006B3830">
      <w:pPr>
        <w:jc w:val="both"/>
        <w:rPr>
          <w:sz w:val="24"/>
          <w:szCs w:val="24"/>
        </w:rPr>
      </w:pPr>
      <w:r w:rsidRPr="00B37A22">
        <w:rPr>
          <w:sz w:val="24"/>
          <w:szCs w:val="24"/>
        </w:rPr>
        <w:t xml:space="preserve">PROENT Sp. </w:t>
      </w:r>
      <w:r w:rsidR="002258EA">
        <w:rPr>
          <w:sz w:val="24"/>
          <w:szCs w:val="24"/>
        </w:rPr>
        <w:t>z</w:t>
      </w:r>
      <w:r w:rsidRPr="00B37A22">
        <w:rPr>
          <w:sz w:val="24"/>
          <w:szCs w:val="24"/>
        </w:rPr>
        <w:t xml:space="preserve"> o.o. z siedzibą we Wrocławiu </w:t>
      </w:r>
      <w:r>
        <w:rPr>
          <w:sz w:val="24"/>
          <w:szCs w:val="24"/>
        </w:rPr>
        <w:t xml:space="preserve">zwróciła się o wydanie pozytywnej opinii w sprawie lokalizacji kasyna gry w lokalu </w:t>
      </w:r>
      <w:r w:rsidR="002258EA">
        <w:rPr>
          <w:sz w:val="24"/>
          <w:szCs w:val="24"/>
        </w:rPr>
        <w:t xml:space="preserve">użytkowym o charakterze usługowym, hotelowo-restauracyjnym, w budynku stanowiącym Hotel i Restaurację </w:t>
      </w:r>
      <w:r>
        <w:rPr>
          <w:sz w:val="24"/>
          <w:szCs w:val="24"/>
        </w:rPr>
        <w:t xml:space="preserve"> </w:t>
      </w:r>
      <w:r w:rsidR="002258EA">
        <w:rPr>
          <w:sz w:val="24"/>
          <w:szCs w:val="24"/>
        </w:rPr>
        <w:t>Stary Dwór</w:t>
      </w:r>
      <w:r w:rsidR="0022221F">
        <w:rPr>
          <w:sz w:val="24"/>
          <w:szCs w:val="24"/>
        </w:rPr>
        <w:t xml:space="preserve"> w m. Krze Duże 28</w:t>
      </w:r>
      <w:r w:rsidR="002258EA">
        <w:rPr>
          <w:sz w:val="24"/>
          <w:szCs w:val="24"/>
        </w:rPr>
        <w:t xml:space="preserve">, na nieruchomości będącej własnością spółki Stary Dwór z o.o. (KRS: 0000550189). </w:t>
      </w:r>
    </w:p>
    <w:p w:rsidR="00B37A22" w:rsidRDefault="00B37A22" w:rsidP="006B3830">
      <w:pPr>
        <w:jc w:val="both"/>
        <w:rPr>
          <w:sz w:val="24"/>
          <w:szCs w:val="24"/>
        </w:rPr>
      </w:pPr>
    </w:p>
    <w:p w:rsidR="002D06EC" w:rsidRDefault="00B37A22" w:rsidP="006B3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Obowiązek </w:t>
      </w:r>
      <w:r w:rsidR="006B3830">
        <w:rPr>
          <w:sz w:val="24"/>
          <w:szCs w:val="24"/>
        </w:rPr>
        <w:t xml:space="preserve">uzyskania pozytywnej opinii rady gminy o lokalizacji kasyna gry wynika z </w:t>
      </w:r>
      <w:r w:rsidR="006B3830" w:rsidRPr="006B3830">
        <w:rPr>
          <w:sz w:val="24"/>
          <w:szCs w:val="24"/>
        </w:rPr>
        <w:t xml:space="preserve">art. 35 pkt 15 ustawy z dnia 19 listopada 2009 r. o grach hazardowych (Dz.U. </w:t>
      </w:r>
      <w:r w:rsidR="006B3830">
        <w:rPr>
          <w:sz w:val="24"/>
          <w:szCs w:val="24"/>
        </w:rPr>
        <w:t xml:space="preserve">z 2015r. poz. 612 z                 </w:t>
      </w:r>
      <w:proofErr w:type="spellStart"/>
      <w:r w:rsidR="006B3830">
        <w:rPr>
          <w:sz w:val="24"/>
          <w:szCs w:val="24"/>
        </w:rPr>
        <w:t>późn</w:t>
      </w:r>
      <w:proofErr w:type="spellEnd"/>
      <w:r w:rsidR="006B3830">
        <w:rPr>
          <w:sz w:val="24"/>
          <w:szCs w:val="24"/>
        </w:rPr>
        <w:t xml:space="preserve">. zm.) Zgodnie z w/w przepisem wniosek o udzielenie koncesji na prowadzenie kasyna gry powinien zawierać pozytywną opinię rady gminy o lokalizacji kasyna gry. </w:t>
      </w:r>
    </w:p>
    <w:p w:rsidR="00095A3A" w:rsidRDefault="00095A3A" w:rsidP="006B3830">
      <w:pPr>
        <w:jc w:val="both"/>
        <w:rPr>
          <w:sz w:val="24"/>
          <w:szCs w:val="24"/>
        </w:rPr>
      </w:pPr>
    </w:p>
    <w:p w:rsidR="00095A3A" w:rsidRDefault="00095A3A" w:rsidP="006B3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oceny rady może być jedynie proponowana lokalizacji kasyna gry. Ocena czy prowadzenie kasyna gry mieści się w limicie w/w ustawy należy do organu wydającego koncesję tj. Ministra właściwego do spraw finansów publicznych. </w:t>
      </w:r>
    </w:p>
    <w:p w:rsidR="00770198" w:rsidRDefault="00770198" w:rsidP="006B3830">
      <w:pPr>
        <w:jc w:val="both"/>
        <w:rPr>
          <w:sz w:val="24"/>
          <w:szCs w:val="24"/>
        </w:rPr>
      </w:pPr>
    </w:p>
    <w:p w:rsidR="00770198" w:rsidRPr="00B37A22" w:rsidRDefault="00770198" w:rsidP="006B3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zapoznaniu się z warunkami lokalizacji Rada Gminy Radziejowice wyraża </w:t>
      </w:r>
      <w:r w:rsidR="00814DA3">
        <w:rPr>
          <w:sz w:val="24"/>
          <w:szCs w:val="24"/>
        </w:rPr>
        <w:t>pozytywną</w:t>
      </w:r>
      <w:r>
        <w:rPr>
          <w:sz w:val="24"/>
          <w:szCs w:val="24"/>
        </w:rPr>
        <w:t xml:space="preserve"> opinię dotyczącą lokalizacji kasyna gry </w:t>
      </w:r>
      <w:r w:rsidRPr="00770198">
        <w:rPr>
          <w:sz w:val="24"/>
          <w:szCs w:val="24"/>
        </w:rPr>
        <w:t xml:space="preserve">w budynku stanowiącym Hotel i Restaurację  Stary Dwór </w:t>
      </w:r>
      <w:r>
        <w:rPr>
          <w:sz w:val="24"/>
          <w:szCs w:val="24"/>
        </w:rPr>
        <w:t xml:space="preserve">położonym w m. Krze Duże. </w:t>
      </w:r>
    </w:p>
    <w:sectPr w:rsidR="00770198" w:rsidRPr="00B3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61"/>
    <w:rsid w:val="00003D2E"/>
    <w:rsid w:val="00095A3A"/>
    <w:rsid w:val="001928B6"/>
    <w:rsid w:val="0022221F"/>
    <w:rsid w:val="002258EA"/>
    <w:rsid w:val="002D06EC"/>
    <w:rsid w:val="002F3F61"/>
    <w:rsid w:val="00436999"/>
    <w:rsid w:val="006B3830"/>
    <w:rsid w:val="00770198"/>
    <w:rsid w:val="00814DA3"/>
    <w:rsid w:val="00B37A22"/>
    <w:rsid w:val="00B80BA1"/>
    <w:rsid w:val="00B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51C6-DD20-4183-8066-AF7EBEB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33</cp:revision>
  <cp:lastPrinted>2016-04-26T10:32:00Z</cp:lastPrinted>
  <dcterms:created xsi:type="dcterms:W3CDTF">2016-04-26T09:44:00Z</dcterms:created>
  <dcterms:modified xsi:type="dcterms:W3CDTF">2016-05-20T10:47:00Z</dcterms:modified>
</cp:coreProperties>
</file>